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1E3B" w14:textId="77777777" w:rsidR="00A128AD" w:rsidRPr="00385B6B" w:rsidRDefault="00A128AD">
      <w:pPr>
        <w:pBdr>
          <w:top w:val="nil"/>
          <w:left w:val="nil"/>
          <w:bottom w:val="nil"/>
          <w:right w:val="nil"/>
          <w:between w:val="nil"/>
        </w:pBdr>
        <w:spacing w:after="0" w:line="240" w:lineRule="auto"/>
        <w:jc w:val="both"/>
        <w:rPr>
          <w:rFonts w:ascii="Arial" w:eastAsia="Calibri" w:hAnsi="Arial" w:cs="Arial"/>
          <w:color w:val="000000"/>
        </w:rPr>
      </w:pPr>
    </w:p>
    <w:p w14:paraId="5915B1A5" w14:textId="77777777" w:rsidR="00A128AD" w:rsidRPr="00385B6B" w:rsidRDefault="005F61ED">
      <w:pPr>
        <w:spacing w:line="240" w:lineRule="auto"/>
        <w:jc w:val="center"/>
        <w:rPr>
          <w:rFonts w:ascii="Arial" w:hAnsi="Arial" w:cs="Arial"/>
          <w:b/>
        </w:rPr>
      </w:pPr>
      <w:r w:rsidRPr="00385B6B">
        <w:rPr>
          <w:rFonts w:ascii="Arial" w:hAnsi="Arial" w:cs="Arial"/>
          <w:b/>
        </w:rPr>
        <w:t>BASES CONCURSO</w:t>
      </w:r>
    </w:p>
    <w:p w14:paraId="304CFC95" w14:textId="77777777" w:rsidR="00A128AD" w:rsidRPr="00385B6B" w:rsidRDefault="005F61ED">
      <w:pPr>
        <w:spacing w:line="240" w:lineRule="auto"/>
        <w:jc w:val="center"/>
        <w:rPr>
          <w:rFonts w:ascii="Arial" w:hAnsi="Arial" w:cs="Arial"/>
          <w:b/>
        </w:rPr>
      </w:pPr>
      <w:r w:rsidRPr="00385B6B">
        <w:rPr>
          <w:rFonts w:ascii="Arial" w:hAnsi="Arial" w:cs="Arial"/>
          <w:b/>
        </w:rPr>
        <w:t>Buenas prácticas educativas en Educación Superior 2021</w:t>
      </w:r>
    </w:p>
    <w:p w14:paraId="14829A5A" w14:textId="77777777" w:rsidR="00A128AD" w:rsidRPr="00385B6B" w:rsidRDefault="005F61ED" w:rsidP="00385B6B">
      <w:pPr>
        <w:spacing w:after="160" w:line="259" w:lineRule="auto"/>
        <w:jc w:val="both"/>
        <w:rPr>
          <w:rFonts w:ascii="Arial" w:hAnsi="Arial" w:cs="Arial"/>
          <w:color w:val="000000"/>
        </w:rPr>
      </w:pPr>
      <w:bookmarkStart w:id="0" w:name="_heading=h.gjdgxs" w:colFirst="0" w:colLast="0"/>
      <w:bookmarkEnd w:id="0"/>
      <w:r w:rsidRPr="00385B6B">
        <w:rPr>
          <w:rFonts w:ascii="Arial" w:hAnsi="Arial" w:cs="Arial"/>
          <w:color w:val="000000"/>
        </w:rPr>
        <w:t>Presentación</w:t>
      </w:r>
    </w:p>
    <w:p w14:paraId="71682757" w14:textId="77777777" w:rsidR="00A128AD" w:rsidRPr="00385B6B" w:rsidRDefault="005F61ED">
      <w:pPr>
        <w:shd w:val="clear" w:color="auto" w:fill="FFFFFF"/>
        <w:spacing w:after="0" w:line="240" w:lineRule="auto"/>
        <w:ind w:right="107"/>
        <w:jc w:val="both"/>
        <w:rPr>
          <w:rFonts w:ascii="Arial" w:hAnsi="Arial" w:cs="Arial"/>
        </w:rPr>
      </w:pPr>
      <w:r w:rsidRPr="00385B6B">
        <w:rPr>
          <w:rFonts w:ascii="Arial" w:hAnsi="Arial" w:cs="Arial"/>
        </w:rPr>
        <w:t>La Universidad Central de Chile declara en su Visión que busca ser… “f</w:t>
      </w:r>
      <w:r w:rsidRPr="00385B6B">
        <w:rPr>
          <w:rFonts w:ascii="Arial" w:hAnsi="Arial" w:cs="Arial"/>
          <w:highlight w:val="white"/>
        </w:rPr>
        <w:t>ormadora de personas integrales, con una oferta de programas académicos de calidad”. Así también, en su Misión, se propone… “entregar educación superior de excelencia y formación integral de personas en un marco valórico”. Y destaca como uno de sus valores institucionales la “</w:t>
      </w:r>
      <w:r w:rsidRPr="00385B6B">
        <w:rPr>
          <w:rFonts w:ascii="Arial" w:hAnsi="Arial" w:cs="Arial"/>
        </w:rPr>
        <w:t xml:space="preserve">excelencia” definida como…”la decisión y puesta en práctica de hacer las cosas bien, acrecentado por un espíritu de autocrítica y de mejoramiento continuo”. </w:t>
      </w:r>
    </w:p>
    <w:p w14:paraId="43BA1ABC" w14:textId="77777777" w:rsidR="00A128AD" w:rsidRPr="00385B6B" w:rsidRDefault="00A128AD">
      <w:pPr>
        <w:shd w:val="clear" w:color="auto" w:fill="FFFFFF"/>
        <w:spacing w:after="0" w:line="240" w:lineRule="auto"/>
        <w:ind w:right="107"/>
        <w:jc w:val="both"/>
        <w:rPr>
          <w:rFonts w:ascii="Arial" w:hAnsi="Arial" w:cs="Arial"/>
        </w:rPr>
      </w:pPr>
    </w:p>
    <w:p w14:paraId="55A067F3" w14:textId="77777777" w:rsidR="00333294" w:rsidRPr="00385B6B" w:rsidRDefault="005F61ED">
      <w:pPr>
        <w:shd w:val="clear" w:color="auto" w:fill="FFFFFF"/>
        <w:spacing w:after="0" w:line="240" w:lineRule="auto"/>
        <w:ind w:right="107"/>
        <w:jc w:val="both"/>
        <w:rPr>
          <w:rFonts w:ascii="Arial" w:hAnsi="Arial" w:cs="Arial"/>
        </w:rPr>
      </w:pPr>
      <w:r w:rsidRPr="00385B6B">
        <w:rPr>
          <w:rFonts w:ascii="Arial" w:hAnsi="Arial" w:cs="Arial"/>
        </w:rPr>
        <w:t xml:space="preserve">En consecuencia, la práctica educativa de los y las docentes, para promover los aprendizajes y la formación integral de los y las profesionales que se </w:t>
      </w:r>
      <w:r w:rsidR="00333294" w:rsidRPr="00385B6B">
        <w:rPr>
          <w:rFonts w:ascii="Arial" w:hAnsi="Arial" w:cs="Arial"/>
        </w:rPr>
        <w:t>educan</w:t>
      </w:r>
      <w:r w:rsidRPr="00385B6B">
        <w:rPr>
          <w:rFonts w:ascii="Arial" w:hAnsi="Arial" w:cs="Arial"/>
        </w:rPr>
        <w:t xml:space="preserve"> en la Universidad Central de Chile, es un aspecto de relevancia fundamental. </w:t>
      </w:r>
    </w:p>
    <w:p w14:paraId="05C0C453" w14:textId="77777777" w:rsidR="00333294" w:rsidRPr="00385B6B" w:rsidRDefault="00333294">
      <w:pPr>
        <w:shd w:val="clear" w:color="auto" w:fill="FFFFFF"/>
        <w:spacing w:after="0" w:line="240" w:lineRule="auto"/>
        <w:ind w:right="107"/>
        <w:jc w:val="both"/>
        <w:rPr>
          <w:rFonts w:ascii="Arial" w:hAnsi="Arial" w:cs="Arial"/>
        </w:rPr>
      </w:pPr>
    </w:p>
    <w:p w14:paraId="4F385EF8" w14:textId="77777777" w:rsidR="00333294" w:rsidRPr="00385B6B" w:rsidRDefault="00333294">
      <w:pPr>
        <w:shd w:val="clear" w:color="auto" w:fill="FFFFFF"/>
        <w:spacing w:after="0" w:line="240" w:lineRule="auto"/>
        <w:ind w:right="107"/>
        <w:jc w:val="both"/>
        <w:rPr>
          <w:rFonts w:ascii="Arial" w:hAnsi="Arial" w:cs="Arial"/>
        </w:rPr>
      </w:pPr>
      <w:r w:rsidRPr="00385B6B">
        <w:rPr>
          <w:rFonts w:ascii="Arial" w:hAnsi="Arial" w:cs="Arial"/>
        </w:rPr>
        <w:t>La práctica educativa consiste en un quehacer organizado con el propósito que el aprendizaje del estudiante ocurra. La buena práctica educativa es aquella actividad o conjunto de actividades que logran que el aprendizaje ocurra y es capaz de evaluar dicho aprendizaje para introducir mejoras u optimizaciones.</w:t>
      </w:r>
    </w:p>
    <w:p w14:paraId="40A0407D" w14:textId="77777777" w:rsidR="00333294" w:rsidRPr="00385B6B" w:rsidRDefault="00333294">
      <w:pPr>
        <w:shd w:val="clear" w:color="auto" w:fill="FFFFFF"/>
        <w:spacing w:after="0" w:line="240" w:lineRule="auto"/>
        <w:ind w:right="107"/>
        <w:jc w:val="both"/>
        <w:rPr>
          <w:rFonts w:ascii="Arial" w:hAnsi="Arial" w:cs="Arial"/>
        </w:rPr>
      </w:pPr>
    </w:p>
    <w:p w14:paraId="5ED6C091" w14:textId="77777777" w:rsidR="00A128AD" w:rsidRPr="00385B6B" w:rsidRDefault="005F61ED">
      <w:pPr>
        <w:shd w:val="clear" w:color="auto" w:fill="FFFFFF"/>
        <w:spacing w:after="0" w:line="240" w:lineRule="auto"/>
        <w:ind w:right="107"/>
        <w:jc w:val="both"/>
        <w:rPr>
          <w:rFonts w:ascii="Arial" w:hAnsi="Arial" w:cs="Arial"/>
        </w:rPr>
      </w:pPr>
      <w:r w:rsidRPr="00385B6B">
        <w:rPr>
          <w:rFonts w:ascii="Arial" w:hAnsi="Arial" w:cs="Arial"/>
        </w:rPr>
        <w:t xml:space="preserve">La mejora permanente mediante </w:t>
      </w:r>
      <w:r w:rsidR="00333294" w:rsidRPr="00385B6B">
        <w:rPr>
          <w:rFonts w:ascii="Arial" w:hAnsi="Arial" w:cs="Arial"/>
        </w:rPr>
        <w:t xml:space="preserve">la realización, </w:t>
      </w:r>
      <w:r w:rsidRPr="00385B6B">
        <w:rPr>
          <w:rFonts w:ascii="Arial" w:hAnsi="Arial" w:cs="Arial"/>
        </w:rPr>
        <w:t>estudios</w:t>
      </w:r>
      <w:r w:rsidR="00333294" w:rsidRPr="00385B6B">
        <w:rPr>
          <w:rFonts w:ascii="Arial" w:hAnsi="Arial" w:cs="Arial"/>
        </w:rPr>
        <w:t xml:space="preserve">, </w:t>
      </w:r>
      <w:r w:rsidRPr="00385B6B">
        <w:rPr>
          <w:rFonts w:ascii="Arial" w:hAnsi="Arial" w:cs="Arial"/>
        </w:rPr>
        <w:t>ejemplos</w:t>
      </w:r>
      <w:r w:rsidR="00333294" w:rsidRPr="00385B6B">
        <w:rPr>
          <w:rFonts w:ascii="Arial" w:hAnsi="Arial" w:cs="Arial"/>
        </w:rPr>
        <w:t xml:space="preserve"> y transferencias </w:t>
      </w:r>
      <w:r w:rsidRPr="00385B6B">
        <w:rPr>
          <w:rFonts w:ascii="Arial" w:hAnsi="Arial" w:cs="Arial"/>
        </w:rPr>
        <w:t xml:space="preserve">de buenas prácticas es un objetivo clave para </w:t>
      </w:r>
      <w:r w:rsidR="001C32BA" w:rsidRPr="00385B6B">
        <w:rPr>
          <w:rFonts w:ascii="Arial" w:hAnsi="Arial" w:cs="Arial"/>
        </w:rPr>
        <w:t>el desarrollo de los procesos de enseñanza aprendizaje en nuestra Universidad</w:t>
      </w:r>
      <w:r w:rsidRPr="00385B6B">
        <w:rPr>
          <w:rFonts w:ascii="Arial" w:hAnsi="Arial" w:cs="Arial"/>
        </w:rPr>
        <w:t>.</w:t>
      </w:r>
    </w:p>
    <w:p w14:paraId="6FA66D9D" w14:textId="77777777" w:rsidR="00A128AD" w:rsidRPr="00385B6B" w:rsidRDefault="00A128AD">
      <w:pPr>
        <w:shd w:val="clear" w:color="auto" w:fill="FFFFFF"/>
        <w:spacing w:after="0" w:line="240" w:lineRule="auto"/>
        <w:ind w:right="107"/>
        <w:jc w:val="both"/>
        <w:rPr>
          <w:rFonts w:ascii="Arial" w:hAnsi="Arial" w:cs="Arial"/>
        </w:rPr>
      </w:pPr>
    </w:p>
    <w:p w14:paraId="5EC8124D" w14:textId="77777777" w:rsidR="00A128AD" w:rsidRPr="00385B6B" w:rsidRDefault="005F61ED">
      <w:pPr>
        <w:shd w:val="clear" w:color="auto" w:fill="FFFFFF"/>
        <w:spacing w:after="0" w:line="240" w:lineRule="auto"/>
        <w:ind w:right="107"/>
        <w:jc w:val="both"/>
        <w:rPr>
          <w:rFonts w:ascii="Arial" w:hAnsi="Arial" w:cs="Arial"/>
        </w:rPr>
      </w:pPr>
      <w:r w:rsidRPr="00385B6B">
        <w:rPr>
          <w:rFonts w:ascii="Arial" w:hAnsi="Arial" w:cs="Arial"/>
        </w:rPr>
        <w:t>En España</w:t>
      </w:r>
      <w:r w:rsidRPr="00385B6B">
        <w:rPr>
          <w:rFonts w:ascii="Arial" w:hAnsi="Arial" w:cs="Arial"/>
          <w:vertAlign w:val="superscript"/>
        </w:rPr>
        <w:footnoteReference w:id="1"/>
      </w:r>
      <w:r w:rsidRPr="00385B6B">
        <w:rPr>
          <w:rFonts w:ascii="Arial" w:hAnsi="Arial" w:cs="Arial"/>
        </w:rPr>
        <w:t xml:space="preserve"> Jesús Guzmán (2018), citando a Bain (2004) y sus hallazgos al investigar a 63 docentes universitarios, hace referencia a que estos/as docentes eran reconocidos por un manejo profundo de su disciplina, capacidad para abordar temas complejos con simplicidad, una alta autoestima ,sustentada en valorar profundamente la labor docente y, por último pero no menos importante, el generar aprendizajes relevantes en sus estudiantes. Resulta interesante que este autor seleccionaba a los buenos docentes basándose en la elección de los /as estudiantes; la justificación mayoritaria de ellos/as para esta elección era que ellos /as generaban cambios en sus vidas personales y /o laborales.</w:t>
      </w:r>
    </w:p>
    <w:p w14:paraId="3C72EDF6" w14:textId="77777777" w:rsidR="00A128AD" w:rsidRPr="00385B6B" w:rsidRDefault="00A128AD">
      <w:pPr>
        <w:shd w:val="clear" w:color="auto" w:fill="FFFFFF"/>
        <w:spacing w:after="0" w:line="240" w:lineRule="auto"/>
        <w:ind w:right="107"/>
        <w:jc w:val="both"/>
        <w:rPr>
          <w:rFonts w:ascii="Arial" w:hAnsi="Arial" w:cs="Arial"/>
        </w:rPr>
      </w:pPr>
    </w:p>
    <w:p w14:paraId="201FD5FA" w14:textId="77777777" w:rsidR="00A128AD" w:rsidRPr="00385B6B" w:rsidRDefault="005F61ED">
      <w:pPr>
        <w:spacing w:line="240" w:lineRule="auto"/>
        <w:jc w:val="both"/>
        <w:rPr>
          <w:rFonts w:ascii="Arial" w:hAnsi="Arial" w:cs="Arial"/>
        </w:rPr>
      </w:pPr>
      <w:r w:rsidRPr="00385B6B">
        <w:rPr>
          <w:rFonts w:ascii="Tahoma" w:hAnsi="Tahoma" w:cs="Tahoma"/>
        </w:rPr>
        <w:t>﻿</w:t>
      </w:r>
      <w:r w:rsidRPr="00385B6B">
        <w:rPr>
          <w:rFonts w:ascii="Arial" w:hAnsi="Arial" w:cs="Arial"/>
        </w:rPr>
        <w:t>Guzmán analiza también estudios en otros países, como México, (Ibarra, 1999 y Laredo Romero e Inda, 2008) y se advierte que se llega a conclusiones similares: las buenas prácticas son conducidas por docentes claros, generadores de un clima de aula de respeto y acogedor, de comunicación horizontal y más que transmisores de información generadores de interés en temas relevantes. Guzmán (2018) destaca también la relevancia del pensamiento didáctico, de un /a docente responsable y motivador.</w:t>
      </w:r>
    </w:p>
    <w:p w14:paraId="0060A8F9" w14:textId="77777777" w:rsidR="00A128AD" w:rsidRPr="00385B6B" w:rsidRDefault="005F61ED">
      <w:pPr>
        <w:spacing w:line="240" w:lineRule="auto"/>
        <w:jc w:val="both"/>
        <w:rPr>
          <w:rFonts w:ascii="Arial" w:hAnsi="Arial" w:cs="Arial"/>
        </w:rPr>
      </w:pPr>
      <w:r w:rsidRPr="00385B6B">
        <w:rPr>
          <w:rFonts w:ascii="Arial" w:hAnsi="Arial" w:cs="Arial"/>
        </w:rPr>
        <w:lastRenderedPageBreak/>
        <w:t>Del castillo JM y Del Castillo, A (2021)</w:t>
      </w:r>
      <w:r w:rsidRPr="00385B6B">
        <w:rPr>
          <w:rFonts w:ascii="Arial" w:hAnsi="Arial" w:cs="Arial"/>
          <w:vertAlign w:val="superscript"/>
        </w:rPr>
        <w:footnoteReference w:id="2"/>
      </w:r>
      <w:r w:rsidRPr="00385B6B">
        <w:rPr>
          <w:rFonts w:ascii="Arial" w:hAnsi="Arial" w:cs="Arial"/>
        </w:rPr>
        <w:t xml:space="preserve"> analizan la problemática de la evaluación en una buena práctica y particularmente las modificaciones que se generan hacia mejores sistemas de evaluación en la modalidad remota a la que obligó el COVID, y sostienen que la concepción evaluativa más apropiada, entendida como proceso de mejora, se aprecia como relevante en esta etapa pandémica en desmedro de la evaluación entendida sólo como una rendición de cuentas.</w:t>
      </w:r>
    </w:p>
    <w:p w14:paraId="173F0112" w14:textId="77777777" w:rsidR="00A128AD" w:rsidRPr="00385B6B" w:rsidRDefault="005F61ED" w:rsidP="00333294">
      <w:pPr>
        <w:widowControl w:val="0"/>
        <w:pBdr>
          <w:top w:val="nil"/>
          <w:left w:val="nil"/>
          <w:bottom w:val="nil"/>
          <w:right w:val="nil"/>
          <w:between w:val="nil"/>
        </w:pBdr>
        <w:tabs>
          <w:tab w:val="left" w:pos="885"/>
        </w:tabs>
        <w:spacing w:after="0" w:line="240" w:lineRule="auto"/>
        <w:ind w:right="91"/>
        <w:jc w:val="both"/>
        <w:rPr>
          <w:rFonts w:ascii="Arial" w:hAnsi="Arial" w:cs="Arial"/>
        </w:rPr>
      </w:pPr>
      <w:r w:rsidRPr="00385B6B">
        <w:rPr>
          <w:rFonts w:ascii="Arial" w:eastAsia="Calibri" w:hAnsi="Arial" w:cs="Arial"/>
          <w:color w:val="000000"/>
        </w:rPr>
        <w:t xml:space="preserve">Es relevante también considerar en la mejora de las prácticas docentes la llamada </w:t>
      </w:r>
      <w:proofErr w:type="spellStart"/>
      <w:r w:rsidRPr="00385B6B">
        <w:rPr>
          <w:rFonts w:ascii="Arial" w:eastAsia="Calibri" w:hAnsi="Arial" w:cs="Arial"/>
          <w:color w:val="000000"/>
        </w:rPr>
        <w:t>Lesson</w:t>
      </w:r>
      <w:proofErr w:type="spellEnd"/>
      <w:r w:rsidRPr="00385B6B">
        <w:rPr>
          <w:rFonts w:ascii="Arial" w:eastAsia="Calibri" w:hAnsi="Arial" w:cs="Arial"/>
          <w:color w:val="000000"/>
        </w:rPr>
        <w:t xml:space="preserve"> </w:t>
      </w:r>
      <w:proofErr w:type="spellStart"/>
      <w:r w:rsidRPr="00385B6B">
        <w:rPr>
          <w:rFonts w:ascii="Arial" w:eastAsia="Calibri" w:hAnsi="Arial" w:cs="Arial"/>
          <w:color w:val="000000"/>
        </w:rPr>
        <w:t>Study</w:t>
      </w:r>
      <w:proofErr w:type="spellEnd"/>
      <w:r w:rsidRPr="00385B6B">
        <w:rPr>
          <w:rFonts w:ascii="Arial" w:eastAsia="Calibri" w:hAnsi="Arial" w:cs="Arial"/>
          <w:color w:val="000000"/>
        </w:rPr>
        <w:t xml:space="preserve"> o Estudio de Clase, sustentada en una mirada socio crítica en que un grupo de docentes se conforma como comunidad que analiza (estudia) clases y generan colaborativamente mejoras que son aplicadas y observadas entre ellos /as para evaluar su incidencia en el aprendizaje de los y las estudiantes. Barboza y Zapata</w:t>
      </w:r>
      <w:r w:rsidRPr="00385B6B">
        <w:rPr>
          <w:rFonts w:ascii="Arial" w:eastAsia="Arial MT" w:hAnsi="Arial" w:cs="Arial"/>
          <w:color w:val="000000"/>
        </w:rPr>
        <w:t xml:space="preserve"> (2013)</w:t>
      </w:r>
      <w:r w:rsidRPr="00385B6B">
        <w:rPr>
          <w:rFonts w:ascii="Arial" w:eastAsia="Arial MT" w:hAnsi="Arial" w:cs="Arial"/>
          <w:color w:val="000000"/>
          <w:vertAlign w:val="superscript"/>
        </w:rPr>
        <w:footnoteReference w:id="3"/>
      </w:r>
      <w:r w:rsidRPr="00385B6B">
        <w:rPr>
          <w:rFonts w:ascii="Arial" w:eastAsia="Arial MT" w:hAnsi="Arial" w:cs="Arial"/>
          <w:color w:val="000000"/>
        </w:rPr>
        <w:t xml:space="preserve"> </w:t>
      </w:r>
      <w:r w:rsidRPr="00385B6B">
        <w:rPr>
          <w:rFonts w:ascii="Arial" w:eastAsia="Calibri" w:hAnsi="Arial" w:cs="Arial"/>
          <w:color w:val="000000"/>
        </w:rPr>
        <w:t xml:space="preserve">analizan la metodología de Estudio de Clase, y plantean que los y las docentes deberían imaginar muchas formas de actuar y ejercitarlas investigativamente (evaluando su  incidencia) en la práctica. Ello exige el disponer de criterios que permitan identificar cuándo, qué y por qué algo es conveniente para este grupo de estudiantes. </w:t>
      </w:r>
    </w:p>
    <w:p w14:paraId="6718D43F" w14:textId="77777777" w:rsidR="001C32BA" w:rsidRPr="00385B6B" w:rsidRDefault="001C32BA">
      <w:pPr>
        <w:spacing w:line="240" w:lineRule="auto"/>
        <w:jc w:val="both"/>
        <w:rPr>
          <w:rFonts w:ascii="Arial" w:hAnsi="Arial" w:cs="Arial"/>
        </w:rPr>
      </w:pPr>
    </w:p>
    <w:p w14:paraId="3E9372BF" w14:textId="77777777" w:rsidR="001C32BA" w:rsidRPr="00385B6B" w:rsidRDefault="005F61ED">
      <w:pPr>
        <w:spacing w:line="240" w:lineRule="auto"/>
        <w:jc w:val="both"/>
        <w:rPr>
          <w:rFonts w:ascii="Arial" w:hAnsi="Arial" w:cs="Arial"/>
        </w:rPr>
      </w:pPr>
      <w:r w:rsidRPr="00385B6B">
        <w:rPr>
          <w:rFonts w:ascii="Arial" w:hAnsi="Arial" w:cs="Arial"/>
        </w:rPr>
        <w:t>Por último, resulta de interés la tesis doctoral de</w:t>
      </w:r>
      <w:r w:rsidRPr="00385B6B">
        <w:rPr>
          <w:rFonts w:ascii="Arial" w:hAnsi="Arial" w:cs="Arial"/>
          <w:color w:val="231F20"/>
        </w:rPr>
        <w:t xml:space="preserve"> </w:t>
      </w:r>
      <w:r w:rsidRPr="00385B6B">
        <w:rPr>
          <w:rFonts w:ascii="Arial" w:hAnsi="Arial" w:cs="Arial"/>
        </w:rPr>
        <w:t>Miriam Veliz (2021</w:t>
      </w:r>
      <w:r w:rsidRPr="00385B6B">
        <w:rPr>
          <w:rFonts w:ascii="Arial" w:hAnsi="Arial" w:cs="Arial"/>
          <w:color w:val="231F20"/>
        </w:rPr>
        <w:t>)</w:t>
      </w:r>
      <w:r w:rsidRPr="00385B6B">
        <w:rPr>
          <w:rFonts w:ascii="Arial" w:hAnsi="Arial" w:cs="Arial"/>
          <w:color w:val="231F20"/>
          <w:vertAlign w:val="superscript"/>
        </w:rPr>
        <w:footnoteReference w:id="4"/>
      </w:r>
      <w:r w:rsidRPr="00385B6B">
        <w:rPr>
          <w:rFonts w:ascii="Arial" w:hAnsi="Arial" w:cs="Arial"/>
          <w:color w:val="231F20"/>
        </w:rPr>
        <w:t xml:space="preserve">  </w:t>
      </w:r>
      <w:r w:rsidRPr="00385B6B">
        <w:rPr>
          <w:rFonts w:ascii="Arial" w:hAnsi="Arial" w:cs="Arial"/>
        </w:rPr>
        <w:t xml:space="preserve">en el que se concluye que las buenas prácticas docentes en modalidad </w:t>
      </w:r>
      <w:proofErr w:type="spellStart"/>
      <w:r w:rsidRPr="00385B6B">
        <w:rPr>
          <w:rFonts w:ascii="Arial" w:hAnsi="Arial" w:cs="Arial"/>
        </w:rPr>
        <w:t>on</w:t>
      </w:r>
      <w:proofErr w:type="spellEnd"/>
      <w:r w:rsidRPr="00385B6B">
        <w:rPr>
          <w:rFonts w:ascii="Arial" w:hAnsi="Arial" w:cs="Arial"/>
        </w:rPr>
        <w:t xml:space="preserve"> line, estarían referidas a la entrega de retroalimentación, el reconocimiento de las necesidades de cada estudiante, el uso de estrategias didácticas interesantes más que uso de tecnologías. Y claramente también la acogida. </w:t>
      </w:r>
    </w:p>
    <w:p w14:paraId="39A5F117" w14:textId="77777777" w:rsidR="00A128AD" w:rsidRDefault="005F61ED">
      <w:pPr>
        <w:spacing w:line="240" w:lineRule="auto"/>
        <w:jc w:val="both"/>
        <w:rPr>
          <w:rFonts w:ascii="Arial" w:hAnsi="Arial" w:cs="Arial"/>
        </w:rPr>
      </w:pPr>
      <w:r w:rsidRPr="00385B6B">
        <w:rPr>
          <w:rFonts w:ascii="Arial" w:hAnsi="Arial" w:cs="Arial"/>
        </w:rPr>
        <w:t xml:space="preserve">En consecuencia, </w:t>
      </w:r>
      <w:r w:rsidR="001C32BA" w:rsidRPr="00385B6B">
        <w:rPr>
          <w:rFonts w:ascii="Arial" w:hAnsi="Arial" w:cs="Arial"/>
        </w:rPr>
        <w:t xml:space="preserve">parece relevante recoger, exponer, modelar y promover la realización de buenas prácticas educativas, en distintitos tipos de modalidades de educación o de dictación de enteras asignaturas (presencial, mixta o remota) para el logro del aprendizaje de nuestras y nuestros estudiantes. </w:t>
      </w:r>
    </w:p>
    <w:p w14:paraId="2E1EC1D1" w14:textId="77777777" w:rsidR="00385B6B" w:rsidRDefault="00385B6B">
      <w:pPr>
        <w:spacing w:line="240" w:lineRule="auto"/>
        <w:jc w:val="both"/>
        <w:rPr>
          <w:rFonts w:ascii="Arial" w:hAnsi="Arial" w:cs="Arial"/>
        </w:rPr>
      </w:pPr>
    </w:p>
    <w:p w14:paraId="6CFE4D2F" w14:textId="77777777" w:rsidR="00385B6B" w:rsidRDefault="00385B6B">
      <w:pPr>
        <w:spacing w:line="240" w:lineRule="auto"/>
        <w:jc w:val="both"/>
        <w:rPr>
          <w:rFonts w:ascii="Arial" w:hAnsi="Arial" w:cs="Arial"/>
        </w:rPr>
      </w:pPr>
    </w:p>
    <w:p w14:paraId="72E3F13E" w14:textId="77777777" w:rsidR="00385B6B" w:rsidRPr="00385B6B" w:rsidRDefault="00385B6B">
      <w:pPr>
        <w:spacing w:line="240" w:lineRule="auto"/>
        <w:jc w:val="both"/>
        <w:rPr>
          <w:rFonts w:ascii="Arial" w:hAnsi="Arial" w:cs="Arial"/>
        </w:rPr>
      </w:pPr>
    </w:p>
    <w:p w14:paraId="2DAACA64" w14:textId="77777777" w:rsidR="00A128AD" w:rsidRPr="00385B6B" w:rsidRDefault="001C32BA">
      <w:pPr>
        <w:pStyle w:val="Ttulo1"/>
        <w:numPr>
          <w:ilvl w:val="0"/>
          <w:numId w:val="1"/>
        </w:numPr>
        <w:jc w:val="both"/>
        <w:rPr>
          <w:rFonts w:ascii="Arial" w:hAnsi="Arial" w:cs="Arial"/>
          <w:color w:val="000000"/>
          <w:sz w:val="22"/>
          <w:szCs w:val="22"/>
        </w:rPr>
      </w:pPr>
      <w:bookmarkStart w:id="1" w:name="_heading=h.30j0zll" w:colFirst="0" w:colLast="0"/>
      <w:bookmarkEnd w:id="1"/>
      <w:r w:rsidRPr="00385B6B">
        <w:rPr>
          <w:rFonts w:ascii="Arial" w:hAnsi="Arial" w:cs="Arial"/>
          <w:color w:val="000000"/>
          <w:sz w:val="22"/>
          <w:szCs w:val="22"/>
        </w:rPr>
        <w:lastRenderedPageBreak/>
        <w:t xml:space="preserve">Indicaciones generales </w:t>
      </w:r>
      <w:r w:rsidR="005F61ED" w:rsidRPr="00385B6B">
        <w:rPr>
          <w:rFonts w:ascii="Arial" w:hAnsi="Arial" w:cs="Arial"/>
          <w:color w:val="000000"/>
          <w:sz w:val="22"/>
          <w:szCs w:val="22"/>
        </w:rPr>
        <w:t xml:space="preserve">a considerar para la </w:t>
      </w:r>
      <w:r w:rsidRPr="00385B6B">
        <w:rPr>
          <w:rFonts w:ascii="Arial" w:hAnsi="Arial" w:cs="Arial"/>
          <w:color w:val="000000"/>
          <w:sz w:val="22"/>
          <w:szCs w:val="22"/>
        </w:rPr>
        <w:t>distinción</w:t>
      </w:r>
      <w:r w:rsidR="005F61ED" w:rsidRPr="00385B6B">
        <w:rPr>
          <w:rFonts w:ascii="Arial" w:hAnsi="Arial" w:cs="Arial"/>
          <w:color w:val="000000"/>
          <w:sz w:val="22"/>
          <w:szCs w:val="22"/>
        </w:rPr>
        <w:t xml:space="preserve"> de buenas prácticas docentes.</w:t>
      </w:r>
    </w:p>
    <w:p w14:paraId="0C232357" w14:textId="77777777" w:rsidR="00D84BC4" w:rsidRPr="00385B6B" w:rsidRDefault="00D84BC4" w:rsidP="00D84BC4">
      <w:pPr>
        <w:rPr>
          <w:rFonts w:ascii="Arial" w:hAnsi="Arial" w:cs="Arial"/>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245"/>
      </w:tblGrid>
      <w:tr w:rsidR="00385B6B" w:rsidRPr="00385B6B" w14:paraId="5150D412" w14:textId="77777777" w:rsidTr="00D84BC4">
        <w:tc>
          <w:tcPr>
            <w:tcW w:w="3397" w:type="dxa"/>
            <w:tcBorders>
              <w:top w:val="single" w:sz="4" w:space="0" w:color="000000"/>
              <w:left w:val="single" w:sz="4" w:space="0" w:color="000000"/>
              <w:bottom w:val="single" w:sz="4" w:space="0" w:color="000000"/>
              <w:right w:val="single" w:sz="4" w:space="0" w:color="000000"/>
            </w:tcBorders>
            <w:shd w:val="clear" w:color="auto" w:fill="D2DEEF"/>
          </w:tcPr>
          <w:p w14:paraId="3B0F7F3F" w14:textId="478491C8" w:rsidR="00D84BC4" w:rsidRPr="00385B6B" w:rsidRDefault="00D84BC4" w:rsidP="00D84BC4">
            <w:pPr>
              <w:rPr>
                <w:rFonts w:ascii="Arial" w:hAnsi="Arial" w:cs="Arial"/>
                <w:sz w:val="20"/>
                <w:szCs w:val="20"/>
              </w:rPr>
            </w:pPr>
            <w:r w:rsidRPr="00385B6B">
              <w:rPr>
                <w:rFonts w:ascii="Arial" w:hAnsi="Arial" w:cs="Arial"/>
                <w:sz w:val="20"/>
                <w:szCs w:val="20"/>
              </w:rPr>
              <w:t>Tipos prácticas a presentar</w:t>
            </w:r>
            <w:r w:rsidR="00B548BC" w:rsidRPr="00385B6B">
              <w:rPr>
                <w:rFonts w:ascii="Arial" w:hAnsi="Arial" w:cs="Arial"/>
                <w:sz w:val="20"/>
                <w:szCs w:val="20"/>
              </w:rPr>
              <w:t xml:space="preserve"> (no excluyentes</w:t>
            </w:r>
            <w:r w:rsidR="00843D9E">
              <w:rPr>
                <w:rFonts w:ascii="Arial" w:hAnsi="Arial" w:cs="Arial"/>
                <w:sz w:val="20"/>
                <w:szCs w:val="20"/>
              </w:rPr>
              <w:t xml:space="preserve"> de otras que se consideren “buenas”</w:t>
            </w:r>
          </w:p>
        </w:tc>
        <w:tc>
          <w:tcPr>
            <w:tcW w:w="5245" w:type="dxa"/>
            <w:tcBorders>
              <w:top w:val="single" w:sz="4" w:space="0" w:color="000000"/>
              <w:left w:val="single" w:sz="4" w:space="0" w:color="000000"/>
              <w:bottom w:val="single" w:sz="4" w:space="0" w:color="000000"/>
              <w:right w:val="single" w:sz="4" w:space="0" w:color="000000"/>
            </w:tcBorders>
            <w:shd w:val="clear" w:color="auto" w:fill="D2DEEF"/>
          </w:tcPr>
          <w:p w14:paraId="5C916808" w14:textId="6543BE59" w:rsidR="00D84BC4" w:rsidRPr="00385B6B" w:rsidRDefault="00D84BC4" w:rsidP="00D84BC4">
            <w:pPr>
              <w:rPr>
                <w:rFonts w:ascii="Arial" w:hAnsi="Arial" w:cs="Arial"/>
                <w:sz w:val="20"/>
                <w:szCs w:val="20"/>
              </w:rPr>
            </w:pPr>
            <w:r w:rsidRPr="00385B6B">
              <w:rPr>
                <w:rFonts w:ascii="Arial" w:hAnsi="Arial" w:cs="Arial"/>
                <w:sz w:val="20"/>
                <w:szCs w:val="20"/>
              </w:rPr>
              <w:t>Evidencias posibles que respalden la buena práctica</w:t>
            </w:r>
            <w:r w:rsidR="00843D9E">
              <w:rPr>
                <w:rFonts w:ascii="Arial" w:hAnsi="Arial" w:cs="Arial"/>
                <w:sz w:val="20"/>
                <w:szCs w:val="20"/>
              </w:rPr>
              <w:t xml:space="preserve"> como una efectiva.</w:t>
            </w:r>
          </w:p>
        </w:tc>
      </w:tr>
      <w:tr w:rsidR="00385B6B" w:rsidRPr="00385B6B" w14:paraId="42B4C982" w14:textId="77777777" w:rsidTr="00D84BC4">
        <w:tc>
          <w:tcPr>
            <w:tcW w:w="3397" w:type="dxa"/>
            <w:tcBorders>
              <w:top w:val="single" w:sz="4" w:space="0" w:color="000000"/>
              <w:left w:val="single" w:sz="4" w:space="0" w:color="000000"/>
              <w:bottom w:val="single" w:sz="4" w:space="0" w:color="000000"/>
              <w:right w:val="single" w:sz="4" w:space="0" w:color="000000"/>
            </w:tcBorders>
            <w:shd w:val="clear" w:color="auto" w:fill="EAEFF7"/>
          </w:tcPr>
          <w:p w14:paraId="24E49639" w14:textId="77777777" w:rsidR="00D84BC4" w:rsidRPr="00385B6B" w:rsidRDefault="00D84BC4" w:rsidP="00D84BC4">
            <w:pPr>
              <w:rPr>
                <w:rFonts w:ascii="Arial" w:hAnsi="Arial" w:cs="Arial"/>
                <w:sz w:val="20"/>
                <w:szCs w:val="20"/>
              </w:rPr>
            </w:pPr>
            <w:r w:rsidRPr="00385B6B">
              <w:rPr>
                <w:rFonts w:ascii="Arial" w:hAnsi="Arial" w:cs="Arial"/>
                <w:sz w:val="20"/>
                <w:szCs w:val="20"/>
              </w:rPr>
              <w:t>Las que  potencian aprendizajes relevantes a través de metodologías innovadoras y estrategias de evaluación auténticas.</w:t>
            </w:r>
          </w:p>
        </w:tc>
        <w:tc>
          <w:tcPr>
            <w:tcW w:w="5245" w:type="dxa"/>
            <w:tcBorders>
              <w:top w:val="single" w:sz="4" w:space="0" w:color="000000"/>
              <w:left w:val="single" w:sz="4" w:space="0" w:color="000000"/>
              <w:bottom w:val="single" w:sz="4" w:space="0" w:color="000000"/>
              <w:right w:val="single" w:sz="4" w:space="0" w:color="000000"/>
            </w:tcBorders>
            <w:shd w:val="clear" w:color="auto" w:fill="EAEFF7"/>
          </w:tcPr>
          <w:p w14:paraId="7063E0D2" w14:textId="77777777" w:rsidR="00D84BC4" w:rsidRPr="00385B6B" w:rsidRDefault="00D84BC4" w:rsidP="00D84BC4">
            <w:pPr>
              <w:rPr>
                <w:rFonts w:ascii="Arial" w:hAnsi="Arial" w:cs="Arial"/>
                <w:sz w:val="20"/>
                <w:szCs w:val="20"/>
              </w:rPr>
            </w:pPr>
            <w:r w:rsidRPr="00385B6B">
              <w:rPr>
                <w:rFonts w:ascii="Arial" w:hAnsi="Arial" w:cs="Arial"/>
                <w:sz w:val="20"/>
                <w:szCs w:val="20"/>
              </w:rPr>
              <w:t>Programa y Syllabus de la asignatura; planificación de la práctica elegida; Materiales o recursos pedagógicos diseñados y/o utilizados; Evaluaciones aplicadas y resultados</w:t>
            </w:r>
          </w:p>
        </w:tc>
      </w:tr>
      <w:tr w:rsidR="00385B6B" w:rsidRPr="00385B6B" w14:paraId="1F59A767" w14:textId="77777777" w:rsidTr="00D84BC4">
        <w:tc>
          <w:tcPr>
            <w:tcW w:w="3397" w:type="dxa"/>
            <w:tcBorders>
              <w:top w:val="single" w:sz="4" w:space="0" w:color="000000"/>
              <w:left w:val="single" w:sz="4" w:space="0" w:color="000000"/>
              <w:bottom w:val="single" w:sz="4" w:space="0" w:color="000000"/>
              <w:right w:val="single" w:sz="4" w:space="0" w:color="000000"/>
            </w:tcBorders>
            <w:shd w:val="clear" w:color="auto" w:fill="D2DEEF"/>
          </w:tcPr>
          <w:p w14:paraId="2CA34563" w14:textId="77777777" w:rsidR="00D84BC4" w:rsidRPr="00385B6B" w:rsidRDefault="00D84BC4" w:rsidP="00D84BC4">
            <w:pPr>
              <w:rPr>
                <w:rFonts w:ascii="Arial" w:hAnsi="Arial" w:cs="Arial"/>
                <w:sz w:val="20"/>
                <w:szCs w:val="20"/>
              </w:rPr>
            </w:pPr>
            <w:r w:rsidRPr="00385B6B">
              <w:rPr>
                <w:rFonts w:ascii="Arial" w:hAnsi="Arial" w:cs="Arial"/>
                <w:sz w:val="20"/>
                <w:szCs w:val="20"/>
              </w:rPr>
              <w:t>Las que generan cambios en la vida formativa de los /as estudiantes, a través de metodologías activas, estrategias de evaluación diversas y participativas.</w:t>
            </w:r>
          </w:p>
        </w:tc>
        <w:tc>
          <w:tcPr>
            <w:tcW w:w="5245" w:type="dxa"/>
            <w:tcBorders>
              <w:top w:val="single" w:sz="4" w:space="0" w:color="000000"/>
              <w:left w:val="single" w:sz="4" w:space="0" w:color="000000"/>
              <w:bottom w:val="single" w:sz="4" w:space="0" w:color="000000"/>
              <w:right w:val="single" w:sz="4" w:space="0" w:color="000000"/>
            </w:tcBorders>
            <w:shd w:val="clear" w:color="auto" w:fill="D2DEEF"/>
          </w:tcPr>
          <w:p w14:paraId="0EA9B38B" w14:textId="77777777" w:rsidR="00D84BC4" w:rsidRPr="00385B6B" w:rsidRDefault="00D84BC4" w:rsidP="00D84BC4">
            <w:pPr>
              <w:rPr>
                <w:rFonts w:ascii="Arial" w:hAnsi="Arial" w:cs="Arial"/>
                <w:sz w:val="20"/>
                <w:szCs w:val="20"/>
              </w:rPr>
            </w:pPr>
            <w:r w:rsidRPr="00385B6B">
              <w:rPr>
                <w:rFonts w:ascii="Arial" w:hAnsi="Arial" w:cs="Arial"/>
                <w:sz w:val="20"/>
                <w:szCs w:val="20"/>
              </w:rPr>
              <w:t>Programa y Syllabus de la asignatura; planificación de la práctica elegida; Materiales o recursos pedagógicos diseñados y/o utilizados; Evaluaciones aplicadas y resultados.</w:t>
            </w:r>
            <w:r w:rsidR="00B548BC" w:rsidRPr="00385B6B">
              <w:rPr>
                <w:rFonts w:ascii="Arial" w:hAnsi="Arial" w:cs="Arial"/>
                <w:sz w:val="20"/>
                <w:szCs w:val="20"/>
              </w:rPr>
              <w:t xml:space="preserve"> </w:t>
            </w:r>
            <w:r w:rsidRPr="00385B6B">
              <w:rPr>
                <w:rFonts w:ascii="Arial" w:hAnsi="Arial" w:cs="Arial"/>
                <w:sz w:val="20"/>
                <w:szCs w:val="20"/>
              </w:rPr>
              <w:t>Evaluaciones cualitativas</w:t>
            </w:r>
          </w:p>
        </w:tc>
      </w:tr>
      <w:tr w:rsidR="00385B6B" w:rsidRPr="00385B6B" w14:paraId="2108B091" w14:textId="77777777" w:rsidTr="00D84BC4">
        <w:tc>
          <w:tcPr>
            <w:tcW w:w="3397" w:type="dxa"/>
            <w:tcBorders>
              <w:top w:val="single" w:sz="4" w:space="0" w:color="000000"/>
              <w:left w:val="single" w:sz="4" w:space="0" w:color="000000"/>
              <w:bottom w:val="single" w:sz="4" w:space="0" w:color="000000"/>
              <w:right w:val="single" w:sz="4" w:space="0" w:color="000000"/>
            </w:tcBorders>
            <w:shd w:val="clear" w:color="auto" w:fill="EAEFF7"/>
          </w:tcPr>
          <w:p w14:paraId="4D77CDF8" w14:textId="77777777" w:rsidR="00D84BC4" w:rsidRPr="00385B6B" w:rsidRDefault="00D84BC4" w:rsidP="00D84BC4">
            <w:pPr>
              <w:rPr>
                <w:rFonts w:ascii="Arial" w:hAnsi="Arial" w:cs="Arial"/>
                <w:sz w:val="20"/>
                <w:szCs w:val="20"/>
              </w:rPr>
            </w:pPr>
            <w:r w:rsidRPr="00385B6B">
              <w:rPr>
                <w:rFonts w:ascii="Arial" w:hAnsi="Arial" w:cs="Arial"/>
                <w:sz w:val="20"/>
                <w:szCs w:val="20"/>
              </w:rPr>
              <w:t>Las que favorecen un clima de aula inclusivo y de comunicación abierta, a través de  metodologías que favorecen la autorregulación y autonomía del estudiante.</w:t>
            </w:r>
          </w:p>
        </w:tc>
        <w:tc>
          <w:tcPr>
            <w:tcW w:w="5245" w:type="dxa"/>
            <w:tcBorders>
              <w:top w:val="single" w:sz="4" w:space="0" w:color="000000"/>
              <w:left w:val="single" w:sz="4" w:space="0" w:color="000000"/>
              <w:bottom w:val="single" w:sz="4" w:space="0" w:color="000000"/>
              <w:right w:val="single" w:sz="4" w:space="0" w:color="000000"/>
            </w:tcBorders>
            <w:shd w:val="clear" w:color="auto" w:fill="EAEFF7"/>
          </w:tcPr>
          <w:p w14:paraId="08257BBD" w14:textId="77777777" w:rsidR="00D84BC4" w:rsidRPr="00385B6B" w:rsidRDefault="00D84BC4" w:rsidP="00D84BC4">
            <w:pPr>
              <w:rPr>
                <w:rFonts w:ascii="Arial" w:hAnsi="Arial" w:cs="Arial"/>
                <w:sz w:val="20"/>
                <w:szCs w:val="20"/>
              </w:rPr>
            </w:pPr>
            <w:r w:rsidRPr="00385B6B">
              <w:rPr>
                <w:rFonts w:ascii="Arial" w:hAnsi="Arial" w:cs="Arial"/>
                <w:sz w:val="20"/>
                <w:szCs w:val="20"/>
              </w:rPr>
              <w:t>Programa y Syllabus de la asignatura; planificación de la práctica elegida; Materiales o recursos pedagógicos diseñados y/o utilizados; Evaluaciones aplicadas y resultados; Evaluación integrativa; Coevaluaciones; Autoevaluaciones.</w:t>
            </w:r>
          </w:p>
        </w:tc>
      </w:tr>
      <w:tr w:rsidR="00385B6B" w:rsidRPr="00385B6B" w14:paraId="6F8600EA" w14:textId="77777777" w:rsidTr="00D84BC4">
        <w:tc>
          <w:tcPr>
            <w:tcW w:w="3397" w:type="dxa"/>
            <w:tcBorders>
              <w:top w:val="single" w:sz="4" w:space="0" w:color="000000"/>
              <w:left w:val="single" w:sz="4" w:space="0" w:color="000000"/>
              <w:bottom w:val="single" w:sz="4" w:space="0" w:color="000000"/>
              <w:right w:val="single" w:sz="4" w:space="0" w:color="000000"/>
            </w:tcBorders>
            <w:shd w:val="clear" w:color="auto" w:fill="D2DEEF"/>
          </w:tcPr>
          <w:p w14:paraId="656A7946" w14:textId="77777777" w:rsidR="00D84BC4" w:rsidRPr="00385B6B" w:rsidRDefault="00D84BC4" w:rsidP="00D84BC4">
            <w:pPr>
              <w:rPr>
                <w:rFonts w:ascii="Arial" w:hAnsi="Arial" w:cs="Arial"/>
                <w:sz w:val="20"/>
                <w:szCs w:val="20"/>
              </w:rPr>
            </w:pPr>
            <w:r w:rsidRPr="00385B6B">
              <w:rPr>
                <w:rFonts w:ascii="Arial" w:hAnsi="Arial" w:cs="Arial"/>
                <w:sz w:val="20"/>
                <w:szCs w:val="20"/>
              </w:rPr>
              <w:t>Las que potencian el pensamiento ético y/o crítico.</w:t>
            </w:r>
          </w:p>
        </w:tc>
        <w:tc>
          <w:tcPr>
            <w:tcW w:w="5245" w:type="dxa"/>
            <w:tcBorders>
              <w:top w:val="single" w:sz="4" w:space="0" w:color="000000"/>
              <w:left w:val="single" w:sz="4" w:space="0" w:color="000000"/>
              <w:bottom w:val="single" w:sz="4" w:space="0" w:color="000000"/>
              <w:right w:val="single" w:sz="4" w:space="0" w:color="000000"/>
            </w:tcBorders>
            <w:shd w:val="clear" w:color="auto" w:fill="D2DEEF"/>
          </w:tcPr>
          <w:p w14:paraId="40BB6106" w14:textId="77777777" w:rsidR="00D84BC4" w:rsidRPr="00385B6B" w:rsidRDefault="00D84BC4" w:rsidP="00D84BC4">
            <w:pPr>
              <w:rPr>
                <w:rFonts w:ascii="Arial" w:hAnsi="Arial" w:cs="Arial"/>
                <w:sz w:val="20"/>
                <w:szCs w:val="20"/>
              </w:rPr>
            </w:pPr>
            <w:r w:rsidRPr="00385B6B">
              <w:rPr>
                <w:rFonts w:ascii="Arial" w:hAnsi="Arial" w:cs="Arial"/>
                <w:sz w:val="20"/>
                <w:szCs w:val="20"/>
              </w:rPr>
              <w:t>Programa y Syllabus de la asignatura; planificación de la práctica elegida; Materiales o recursos pedagógicos diseñados y/o utilizados; Evaluaciones aplicadas; Evaluaciones de desempeño o auténticas que muestran incorporación de pensamiento crítico y ético; toma de decisiones en contextos de incertidumbre, entre otras.</w:t>
            </w:r>
          </w:p>
        </w:tc>
      </w:tr>
      <w:tr w:rsidR="00D84BC4" w:rsidRPr="00385B6B" w14:paraId="7F6D8E78" w14:textId="77777777" w:rsidTr="00B548BC">
        <w:tc>
          <w:tcPr>
            <w:tcW w:w="3397" w:type="dxa"/>
            <w:shd w:val="clear" w:color="auto" w:fill="D5DCE4" w:themeFill="text2" w:themeFillTint="33"/>
          </w:tcPr>
          <w:p w14:paraId="02DDF3C4" w14:textId="77777777" w:rsidR="00D84BC4" w:rsidRPr="00385B6B" w:rsidRDefault="00D84BC4" w:rsidP="00D84BC4">
            <w:pPr>
              <w:rPr>
                <w:rFonts w:ascii="Arial" w:hAnsi="Arial" w:cs="Arial"/>
                <w:sz w:val="20"/>
                <w:szCs w:val="20"/>
              </w:rPr>
            </w:pPr>
            <w:r w:rsidRPr="00385B6B">
              <w:rPr>
                <w:rFonts w:ascii="Arial" w:hAnsi="Arial" w:cs="Arial"/>
                <w:sz w:val="20"/>
                <w:szCs w:val="20"/>
              </w:rPr>
              <w:t>Propuestas de buenas prácticas que motivan a la participación en iniciativas o proyectos de investigación entre docentes  y estudiantes</w:t>
            </w:r>
            <w:r w:rsidR="00B548BC" w:rsidRPr="00385B6B">
              <w:rPr>
                <w:rFonts w:ascii="Arial" w:hAnsi="Arial" w:cs="Arial"/>
                <w:sz w:val="20"/>
                <w:szCs w:val="20"/>
              </w:rPr>
              <w:t>.</w:t>
            </w:r>
          </w:p>
        </w:tc>
        <w:tc>
          <w:tcPr>
            <w:tcW w:w="5245" w:type="dxa"/>
            <w:shd w:val="clear" w:color="auto" w:fill="D5DCE4" w:themeFill="text2" w:themeFillTint="33"/>
          </w:tcPr>
          <w:p w14:paraId="17DD6944" w14:textId="77777777" w:rsidR="00D84BC4" w:rsidRPr="00385B6B" w:rsidRDefault="00D84BC4" w:rsidP="00D84BC4">
            <w:pPr>
              <w:rPr>
                <w:rFonts w:ascii="Arial" w:hAnsi="Arial" w:cs="Arial"/>
                <w:sz w:val="20"/>
                <w:szCs w:val="20"/>
              </w:rPr>
            </w:pPr>
            <w:r w:rsidRPr="00385B6B">
              <w:rPr>
                <w:rFonts w:ascii="Arial" w:hAnsi="Arial" w:cs="Arial"/>
                <w:sz w:val="20"/>
                <w:szCs w:val="20"/>
              </w:rPr>
              <w:t>Presentación de planificación de la práctica elegida (syllabus con profundización de la práctica elegida)</w:t>
            </w:r>
            <w:r w:rsidR="00B548BC" w:rsidRPr="00385B6B">
              <w:rPr>
                <w:rFonts w:ascii="Arial" w:hAnsi="Arial" w:cs="Arial"/>
                <w:sz w:val="20"/>
                <w:szCs w:val="20"/>
              </w:rPr>
              <w:t xml:space="preserve"> Planificación de la práctica elegida; Materiales o recursos pedagógicos.</w:t>
            </w:r>
          </w:p>
          <w:p w14:paraId="241C1EFD" w14:textId="77777777" w:rsidR="00D84BC4" w:rsidRPr="00385B6B" w:rsidRDefault="00D84BC4" w:rsidP="00D84BC4">
            <w:pPr>
              <w:rPr>
                <w:rFonts w:ascii="Arial" w:hAnsi="Arial" w:cs="Arial"/>
                <w:sz w:val="20"/>
                <w:szCs w:val="20"/>
              </w:rPr>
            </w:pPr>
            <w:r w:rsidRPr="00385B6B">
              <w:rPr>
                <w:rFonts w:ascii="Arial" w:hAnsi="Arial" w:cs="Arial"/>
                <w:sz w:val="20"/>
                <w:szCs w:val="20"/>
              </w:rPr>
              <w:t>Proyecto y/o Informe de investigación que releve la participación de estudiantes.</w:t>
            </w:r>
          </w:p>
          <w:p w14:paraId="65DD8CC0" w14:textId="77777777" w:rsidR="00D84BC4" w:rsidRPr="00385B6B" w:rsidRDefault="00D84BC4" w:rsidP="00D84BC4">
            <w:pPr>
              <w:rPr>
                <w:rFonts w:ascii="Arial" w:hAnsi="Arial" w:cs="Arial"/>
                <w:sz w:val="20"/>
                <w:szCs w:val="20"/>
              </w:rPr>
            </w:pPr>
            <w:r w:rsidRPr="00385B6B">
              <w:rPr>
                <w:rFonts w:ascii="Arial" w:hAnsi="Arial" w:cs="Arial"/>
                <w:sz w:val="20"/>
                <w:szCs w:val="20"/>
              </w:rPr>
              <w:t xml:space="preserve">Evaluaciones que permitan determinar los resultados logrados por los estudiantes </w:t>
            </w:r>
          </w:p>
        </w:tc>
      </w:tr>
    </w:tbl>
    <w:p w14:paraId="28FF80F0" w14:textId="77777777" w:rsidR="00A128AD" w:rsidRPr="00385B6B" w:rsidRDefault="00A128AD">
      <w:pPr>
        <w:rPr>
          <w:rFonts w:ascii="Arial" w:hAnsi="Arial" w:cs="Arial"/>
        </w:rPr>
      </w:pPr>
    </w:p>
    <w:p w14:paraId="6D024E07" w14:textId="77777777" w:rsidR="00D84BC4" w:rsidRPr="00385B6B" w:rsidRDefault="00D84BC4">
      <w:pPr>
        <w:rPr>
          <w:rFonts w:ascii="Arial" w:hAnsi="Arial" w:cs="Arial"/>
        </w:rPr>
      </w:pPr>
    </w:p>
    <w:p w14:paraId="0C785064" w14:textId="77777777" w:rsidR="00A128AD" w:rsidRPr="00385B6B" w:rsidRDefault="005F61ED">
      <w:pPr>
        <w:pStyle w:val="Ttulo1"/>
        <w:numPr>
          <w:ilvl w:val="0"/>
          <w:numId w:val="1"/>
        </w:numPr>
        <w:jc w:val="both"/>
        <w:rPr>
          <w:rFonts w:ascii="Arial" w:hAnsi="Arial" w:cs="Arial"/>
          <w:color w:val="000000"/>
          <w:sz w:val="22"/>
          <w:szCs w:val="22"/>
        </w:rPr>
      </w:pPr>
      <w:bookmarkStart w:id="2" w:name="_heading=h.1fob9te" w:colFirst="0" w:colLast="0"/>
      <w:bookmarkEnd w:id="2"/>
      <w:r w:rsidRPr="00385B6B">
        <w:rPr>
          <w:rFonts w:ascii="Arial" w:hAnsi="Arial" w:cs="Arial"/>
          <w:color w:val="000000"/>
          <w:sz w:val="22"/>
          <w:szCs w:val="22"/>
        </w:rPr>
        <w:t>Objetivos del concurso.</w:t>
      </w:r>
    </w:p>
    <w:p w14:paraId="7EB0CAE4" w14:textId="77777777" w:rsidR="00A128AD" w:rsidRPr="00385B6B" w:rsidRDefault="00A128AD">
      <w:pPr>
        <w:pBdr>
          <w:top w:val="nil"/>
          <w:left w:val="nil"/>
          <w:bottom w:val="nil"/>
          <w:right w:val="nil"/>
          <w:between w:val="nil"/>
        </w:pBdr>
        <w:spacing w:after="0" w:line="240" w:lineRule="auto"/>
        <w:jc w:val="both"/>
        <w:rPr>
          <w:rFonts w:ascii="Arial" w:eastAsia="Calibri" w:hAnsi="Arial" w:cs="Arial"/>
          <w:color w:val="000000"/>
        </w:rPr>
      </w:pPr>
    </w:p>
    <w:p w14:paraId="5F64805E" w14:textId="77777777" w:rsidR="00A128AD" w:rsidRPr="00385B6B" w:rsidRDefault="005F61ED">
      <w:pPr>
        <w:pBdr>
          <w:top w:val="nil"/>
          <w:left w:val="nil"/>
          <w:bottom w:val="nil"/>
          <w:right w:val="nil"/>
          <w:between w:val="nil"/>
        </w:pBdr>
        <w:spacing w:after="0" w:line="240" w:lineRule="auto"/>
        <w:jc w:val="both"/>
        <w:rPr>
          <w:rFonts w:ascii="Arial" w:eastAsia="Calibri" w:hAnsi="Arial" w:cs="Arial"/>
          <w:color w:val="000000"/>
        </w:rPr>
      </w:pPr>
      <w:r w:rsidRPr="00385B6B">
        <w:rPr>
          <w:rFonts w:ascii="Arial" w:eastAsia="Calibri" w:hAnsi="Arial" w:cs="Arial"/>
          <w:color w:val="000000"/>
        </w:rPr>
        <w:t>El concurso se prop</w:t>
      </w:r>
      <w:r w:rsidR="001C32BA" w:rsidRPr="00385B6B">
        <w:rPr>
          <w:rFonts w:ascii="Arial" w:eastAsia="Calibri" w:hAnsi="Arial" w:cs="Arial"/>
          <w:color w:val="000000"/>
        </w:rPr>
        <w:t>one el logro de los siguientes o</w:t>
      </w:r>
      <w:r w:rsidRPr="00385B6B">
        <w:rPr>
          <w:rFonts w:ascii="Arial" w:eastAsia="Calibri" w:hAnsi="Arial" w:cs="Arial"/>
          <w:color w:val="000000"/>
        </w:rPr>
        <w:t>bjetivos:</w:t>
      </w:r>
    </w:p>
    <w:p w14:paraId="2D9D7396" w14:textId="77777777" w:rsidR="00A128AD" w:rsidRPr="00385B6B" w:rsidRDefault="00A128AD">
      <w:pPr>
        <w:pBdr>
          <w:top w:val="nil"/>
          <w:left w:val="nil"/>
          <w:bottom w:val="nil"/>
          <w:right w:val="nil"/>
          <w:between w:val="nil"/>
        </w:pBdr>
        <w:spacing w:after="0" w:line="240" w:lineRule="auto"/>
        <w:jc w:val="both"/>
        <w:rPr>
          <w:rFonts w:ascii="Arial" w:eastAsia="Calibri" w:hAnsi="Arial" w:cs="Arial"/>
          <w:color w:val="000000"/>
        </w:rPr>
      </w:pPr>
    </w:p>
    <w:p w14:paraId="0C680861" w14:textId="77777777" w:rsidR="00A128AD" w:rsidRPr="00385B6B" w:rsidRDefault="005F61ED">
      <w:pPr>
        <w:numPr>
          <w:ilvl w:val="0"/>
          <w:numId w:val="3"/>
        </w:numPr>
        <w:pBdr>
          <w:top w:val="nil"/>
          <w:left w:val="nil"/>
          <w:bottom w:val="nil"/>
          <w:right w:val="nil"/>
          <w:between w:val="nil"/>
        </w:pBdr>
        <w:spacing w:after="0" w:line="240" w:lineRule="auto"/>
        <w:ind w:left="0" w:firstLine="0"/>
        <w:jc w:val="both"/>
        <w:rPr>
          <w:rFonts w:ascii="Arial" w:eastAsia="Calibri" w:hAnsi="Arial" w:cs="Arial"/>
          <w:color w:val="000000"/>
        </w:rPr>
      </w:pPr>
      <w:r w:rsidRPr="00385B6B">
        <w:rPr>
          <w:rFonts w:ascii="Arial" w:eastAsia="Calibri" w:hAnsi="Arial" w:cs="Arial"/>
          <w:color w:val="000000"/>
        </w:rPr>
        <w:t>Incentivar la mejora permanente de las prácticas docentes en la formación de profesionales y técnicos de nivel superior en la Universidad Central de Chile mediante el compartir prácticas exitosas y el análisis colaborativo de las mismas para generar transferencias y aún más mejoras</w:t>
      </w:r>
    </w:p>
    <w:p w14:paraId="0E161E46" w14:textId="77777777" w:rsidR="00A128AD" w:rsidRPr="00385B6B" w:rsidRDefault="00A128AD">
      <w:pPr>
        <w:pBdr>
          <w:top w:val="nil"/>
          <w:left w:val="nil"/>
          <w:bottom w:val="nil"/>
          <w:right w:val="nil"/>
          <w:between w:val="nil"/>
        </w:pBdr>
        <w:spacing w:after="0" w:line="240" w:lineRule="auto"/>
        <w:jc w:val="both"/>
        <w:rPr>
          <w:rFonts w:ascii="Arial" w:eastAsia="Calibri" w:hAnsi="Arial" w:cs="Arial"/>
          <w:color w:val="000000"/>
        </w:rPr>
      </w:pPr>
    </w:p>
    <w:p w14:paraId="01941D47" w14:textId="77777777" w:rsidR="00A128AD" w:rsidRPr="00385B6B" w:rsidRDefault="005F61ED">
      <w:pPr>
        <w:numPr>
          <w:ilvl w:val="0"/>
          <w:numId w:val="3"/>
        </w:numPr>
        <w:pBdr>
          <w:top w:val="nil"/>
          <w:left w:val="nil"/>
          <w:bottom w:val="nil"/>
          <w:right w:val="nil"/>
          <w:between w:val="nil"/>
        </w:pBdr>
        <w:spacing w:after="0" w:line="240" w:lineRule="auto"/>
        <w:ind w:left="0" w:firstLine="0"/>
        <w:jc w:val="both"/>
        <w:rPr>
          <w:rFonts w:ascii="Arial" w:eastAsia="Calibri" w:hAnsi="Arial" w:cs="Arial"/>
          <w:color w:val="000000"/>
        </w:rPr>
      </w:pPr>
      <w:r w:rsidRPr="00385B6B">
        <w:rPr>
          <w:rFonts w:ascii="Arial" w:eastAsia="Calibri" w:hAnsi="Arial" w:cs="Arial"/>
          <w:color w:val="000000"/>
        </w:rPr>
        <w:t>Fomentar el aprendizaje entre pares, mediante la sistematización y presentación de buenas prácticas y la acogida de sugerencias, que potencien el aprendizaje de los y las estudiantes y que pueden transferirse y replicarse.</w:t>
      </w:r>
    </w:p>
    <w:p w14:paraId="2A33E8F6" w14:textId="77777777" w:rsidR="00A128AD" w:rsidRPr="00385B6B" w:rsidRDefault="00A128AD">
      <w:pPr>
        <w:pBdr>
          <w:top w:val="nil"/>
          <w:left w:val="nil"/>
          <w:bottom w:val="nil"/>
          <w:right w:val="nil"/>
          <w:between w:val="nil"/>
        </w:pBdr>
        <w:spacing w:after="0"/>
        <w:ind w:left="720"/>
        <w:rPr>
          <w:rFonts w:ascii="Arial" w:eastAsia="Calibri" w:hAnsi="Arial" w:cs="Arial"/>
          <w:color w:val="000000"/>
        </w:rPr>
      </w:pPr>
    </w:p>
    <w:p w14:paraId="247CF9BD" w14:textId="77777777" w:rsidR="00A128AD" w:rsidRPr="00385B6B" w:rsidRDefault="005F61ED">
      <w:pPr>
        <w:numPr>
          <w:ilvl w:val="0"/>
          <w:numId w:val="3"/>
        </w:numPr>
        <w:pBdr>
          <w:top w:val="nil"/>
          <w:left w:val="nil"/>
          <w:bottom w:val="nil"/>
          <w:right w:val="nil"/>
          <w:between w:val="nil"/>
        </w:pBdr>
        <w:spacing w:line="240" w:lineRule="auto"/>
        <w:ind w:left="0" w:firstLine="0"/>
        <w:jc w:val="both"/>
        <w:rPr>
          <w:rFonts w:ascii="Arial" w:eastAsia="Calibri" w:hAnsi="Arial" w:cs="Arial"/>
          <w:color w:val="000000"/>
        </w:rPr>
      </w:pPr>
      <w:r w:rsidRPr="00385B6B">
        <w:rPr>
          <w:rFonts w:ascii="Arial" w:eastAsia="Calibri" w:hAnsi="Arial" w:cs="Arial"/>
          <w:color w:val="000000"/>
        </w:rPr>
        <w:t>Generar la transferencia permanente de las buenas prácticas presentadas, hacia otras asignaturas y ámbitos disciplinares, de forma tal de expandir la calidad de los procesos educativos.</w:t>
      </w:r>
    </w:p>
    <w:p w14:paraId="69859ADE" w14:textId="77777777" w:rsidR="00A128AD" w:rsidRPr="00385B6B" w:rsidRDefault="005F61ED">
      <w:pPr>
        <w:pStyle w:val="Ttulo1"/>
        <w:numPr>
          <w:ilvl w:val="0"/>
          <w:numId w:val="1"/>
        </w:numPr>
        <w:jc w:val="both"/>
        <w:rPr>
          <w:rFonts w:ascii="Arial" w:hAnsi="Arial" w:cs="Arial"/>
          <w:color w:val="000000"/>
          <w:sz w:val="22"/>
          <w:szCs w:val="22"/>
        </w:rPr>
      </w:pPr>
      <w:bookmarkStart w:id="3" w:name="_heading=h.3znysh7" w:colFirst="0" w:colLast="0"/>
      <w:bookmarkEnd w:id="3"/>
      <w:r w:rsidRPr="00385B6B">
        <w:rPr>
          <w:rFonts w:ascii="Arial" w:hAnsi="Arial" w:cs="Arial"/>
          <w:color w:val="000000"/>
          <w:sz w:val="22"/>
          <w:szCs w:val="22"/>
        </w:rPr>
        <w:t>Participantes.</w:t>
      </w:r>
    </w:p>
    <w:p w14:paraId="4593189E" w14:textId="77777777" w:rsidR="00A128AD" w:rsidRPr="00385B6B" w:rsidRDefault="00A128AD">
      <w:pPr>
        <w:pBdr>
          <w:top w:val="nil"/>
          <w:left w:val="nil"/>
          <w:bottom w:val="nil"/>
          <w:right w:val="nil"/>
          <w:between w:val="nil"/>
        </w:pBdr>
        <w:spacing w:after="0" w:line="240" w:lineRule="auto"/>
        <w:jc w:val="both"/>
        <w:rPr>
          <w:rFonts w:ascii="Arial" w:eastAsia="Calibri" w:hAnsi="Arial" w:cs="Arial"/>
          <w:color w:val="000000"/>
        </w:rPr>
      </w:pPr>
    </w:p>
    <w:p w14:paraId="37243F03" w14:textId="77777777" w:rsidR="00A128AD" w:rsidRPr="00385B6B" w:rsidRDefault="005F61ED">
      <w:pPr>
        <w:pBdr>
          <w:top w:val="nil"/>
          <w:left w:val="nil"/>
          <w:bottom w:val="nil"/>
          <w:right w:val="nil"/>
          <w:between w:val="nil"/>
        </w:pBdr>
        <w:spacing w:after="0" w:line="240" w:lineRule="auto"/>
        <w:jc w:val="both"/>
        <w:rPr>
          <w:rFonts w:ascii="Arial" w:eastAsia="Calibri" w:hAnsi="Arial" w:cs="Arial"/>
          <w:color w:val="000000"/>
        </w:rPr>
      </w:pPr>
      <w:r w:rsidRPr="00385B6B">
        <w:rPr>
          <w:rFonts w:ascii="Arial" w:eastAsia="Calibri" w:hAnsi="Arial" w:cs="Arial"/>
          <w:color w:val="000000"/>
        </w:rPr>
        <w:t>En este concurso podrán participar:</w:t>
      </w:r>
    </w:p>
    <w:p w14:paraId="04923939" w14:textId="77777777" w:rsidR="00A128AD" w:rsidRPr="00385B6B" w:rsidRDefault="00A128AD">
      <w:pPr>
        <w:pBdr>
          <w:top w:val="nil"/>
          <w:left w:val="nil"/>
          <w:bottom w:val="nil"/>
          <w:right w:val="nil"/>
          <w:between w:val="nil"/>
        </w:pBdr>
        <w:spacing w:after="0" w:line="240" w:lineRule="auto"/>
        <w:jc w:val="both"/>
        <w:rPr>
          <w:rFonts w:ascii="Arial" w:eastAsia="Calibri" w:hAnsi="Arial" w:cs="Arial"/>
          <w:color w:val="000000"/>
        </w:rPr>
      </w:pPr>
    </w:p>
    <w:p w14:paraId="78A9FF18" w14:textId="77777777" w:rsidR="00A128AD" w:rsidRPr="00385B6B" w:rsidRDefault="005F61ED" w:rsidP="001A66E7">
      <w:pPr>
        <w:pBdr>
          <w:top w:val="nil"/>
          <w:left w:val="nil"/>
          <w:bottom w:val="nil"/>
          <w:right w:val="nil"/>
          <w:between w:val="nil"/>
        </w:pBdr>
        <w:spacing w:after="0" w:line="240" w:lineRule="auto"/>
        <w:jc w:val="both"/>
        <w:rPr>
          <w:rFonts w:ascii="Arial" w:eastAsia="Calibri" w:hAnsi="Arial" w:cs="Arial"/>
          <w:color w:val="000000"/>
        </w:rPr>
      </w:pPr>
      <w:r w:rsidRPr="00385B6B">
        <w:rPr>
          <w:rFonts w:ascii="Arial" w:eastAsia="Calibri" w:hAnsi="Arial" w:cs="Arial"/>
          <w:color w:val="000000"/>
        </w:rPr>
        <w:t xml:space="preserve">Académicos de la Universidad Central de Chile (jornada u honorarios) que </w:t>
      </w:r>
      <w:r w:rsidR="001C32BA" w:rsidRPr="00385B6B">
        <w:rPr>
          <w:rFonts w:ascii="Arial" w:eastAsia="Calibri" w:hAnsi="Arial" w:cs="Arial"/>
          <w:color w:val="000000"/>
        </w:rPr>
        <w:t xml:space="preserve">hayan dictado </w:t>
      </w:r>
      <w:r w:rsidRPr="00385B6B">
        <w:rPr>
          <w:rFonts w:ascii="Arial" w:eastAsia="Calibri" w:hAnsi="Arial" w:cs="Arial"/>
          <w:color w:val="000000"/>
        </w:rPr>
        <w:t>al menos un curso en carreras pre-grado</w:t>
      </w:r>
      <w:r w:rsidR="001A66E7" w:rsidRPr="00385B6B">
        <w:rPr>
          <w:rFonts w:ascii="Arial" w:eastAsia="Calibri" w:hAnsi="Arial" w:cs="Arial"/>
          <w:color w:val="000000"/>
        </w:rPr>
        <w:t xml:space="preserve"> regular</w:t>
      </w:r>
      <w:r w:rsidRPr="00385B6B">
        <w:rPr>
          <w:rFonts w:ascii="Arial" w:eastAsia="Calibri" w:hAnsi="Arial" w:cs="Arial"/>
          <w:color w:val="000000"/>
        </w:rPr>
        <w:t>,</w:t>
      </w:r>
      <w:r w:rsidR="001A66E7" w:rsidRPr="00385B6B">
        <w:rPr>
          <w:rFonts w:ascii="Arial" w:eastAsia="Calibri" w:hAnsi="Arial" w:cs="Arial"/>
          <w:color w:val="000000"/>
        </w:rPr>
        <w:t xml:space="preserve"> técnicas,</w:t>
      </w:r>
      <w:r w:rsidRPr="00385B6B">
        <w:rPr>
          <w:rFonts w:ascii="Arial" w:eastAsia="Calibri" w:hAnsi="Arial" w:cs="Arial"/>
          <w:color w:val="000000"/>
        </w:rPr>
        <w:t xml:space="preserve"> programas de post grado</w:t>
      </w:r>
      <w:r w:rsidR="00BA0331" w:rsidRPr="00385B6B">
        <w:rPr>
          <w:rFonts w:ascii="Arial" w:eastAsia="Calibri" w:hAnsi="Arial" w:cs="Arial"/>
          <w:color w:val="000000"/>
        </w:rPr>
        <w:t xml:space="preserve"> o </w:t>
      </w:r>
      <w:proofErr w:type="spellStart"/>
      <w:r w:rsidR="001A66E7" w:rsidRPr="00385B6B">
        <w:rPr>
          <w:rFonts w:ascii="Arial" w:eastAsia="Calibri" w:hAnsi="Arial" w:cs="Arial"/>
          <w:color w:val="000000"/>
        </w:rPr>
        <w:t>advance</w:t>
      </w:r>
      <w:proofErr w:type="spellEnd"/>
      <w:r w:rsidR="001A66E7" w:rsidRPr="00385B6B">
        <w:rPr>
          <w:rFonts w:ascii="Arial" w:eastAsia="Calibri" w:hAnsi="Arial" w:cs="Arial"/>
          <w:color w:val="000000"/>
        </w:rPr>
        <w:t xml:space="preserve">, en el período </w:t>
      </w:r>
      <w:r w:rsidR="007854B9" w:rsidRPr="00385B6B">
        <w:rPr>
          <w:rFonts w:ascii="Arial" w:eastAsia="Calibri" w:hAnsi="Arial" w:cs="Arial"/>
          <w:color w:val="000000"/>
        </w:rPr>
        <w:t>2020 -2021</w:t>
      </w:r>
      <w:r w:rsidR="001A66E7" w:rsidRPr="00385B6B">
        <w:rPr>
          <w:rFonts w:ascii="Arial" w:eastAsia="Calibri" w:hAnsi="Arial" w:cs="Arial"/>
          <w:color w:val="000000"/>
        </w:rPr>
        <w:t>.</w:t>
      </w:r>
    </w:p>
    <w:p w14:paraId="2CAC2F2F" w14:textId="77777777" w:rsidR="00A128AD" w:rsidRPr="00385B6B" w:rsidRDefault="005F61ED">
      <w:pPr>
        <w:spacing w:line="240" w:lineRule="auto"/>
        <w:ind w:left="522"/>
        <w:jc w:val="both"/>
        <w:rPr>
          <w:rFonts w:ascii="Arial" w:hAnsi="Arial" w:cs="Arial"/>
        </w:rPr>
      </w:pPr>
      <w:r w:rsidRPr="00385B6B">
        <w:rPr>
          <w:rFonts w:ascii="Arial" w:hAnsi="Arial" w:cs="Arial"/>
          <w:b/>
        </w:rPr>
        <w:t>Importante:</w:t>
      </w:r>
      <w:r w:rsidRPr="00385B6B">
        <w:rPr>
          <w:rFonts w:ascii="Arial" w:hAnsi="Arial" w:cs="Arial"/>
        </w:rPr>
        <w:t xml:space="preserve"> </w:t>
      </w:r>
    </w:p>
    <w:p w14:paraId="649AF477" w14:textId="77777777" w:rsidR="00A128AD" w:rsidRPr="00385B6B" w:rsidRDefault="005F61ED">
      <w:pPr>
        <w:spacing w:line="240" w:lineRule="auto"/>
        <w:jc w:val="both"/>
        <w:rPr>
          <w:rFonts w:ascii="Arial" w:hAnsi="Arial" w:cs="Arial"/>
        </w:rPr>
      </w:pPr>
      <w:r w:rsidRPr="00385B6B">
        <w:rPr>
          <w:rFonts w:ascii="Arial" w:hAnsi="Arial" w:cs="Arial"/>
        </w:rPr>
        <w:t xml:space="preserve">Toda propuesta deberá ser acompañada con una </w:t>
      </w:r>
      <w:r w:rsidRPr="00385B6B">
        <w:rPr>
          <w:rFonts w:ascii="Arial" w:hAnsi="Arial" w:cs="Arial"/>
          <w:b/>
          <w:i/>
        </w:rPr>
        <w:t>carta de respaldo del Director</w:t>
      </w:r>
      <w:r w:rsidRPr="00385B6B">
        <w:rPr>
          <w:rFonts w:ascii="Arial" w:hAnsi="Arial" w:cs="Arial"/>
        </w:rPr>
        <w:t xml:space="preserve"> </w:t>
      </w:r>
      <w:r w:rsidR="007854B9" w:rsidRPr="00385B6B">
        <w:rPr>
          <w:rFonts w:ascii="Arial" w:hAnsi="Arial" w:cs="Arial"/>
          <w:b/>
          <w:i/>
        </w:rPr>
        <w:t>de Carrera o de la Escuela o P</w:t>
      </w:r>
      <w:r w:rsidRPr="00385B6B">
        <w:rPr>
          <w:rFonts w:ascii="Arial" w:hAnsi="Arial" w:cs="Arial"/>
          <w:b/>
          <w:i/>
        </w:rPr>
        <w:t>rograma</w:t>
      </w:r>
      <w:r w:rsidRPr="00385B6B">
        <w:rPr>
          <w:rFonts w:ascii="Arial" w:hAnsi="Arial" w:cs="Arial"/>
        </w:rPr>
        <w:t xml:space="preserve"> </w:t>
      </w:r>
      <w:r w:rsidRPr="00385B6B">
        <w:rPr>
          <w:rFonts w:ascii="Arial" w:hAnsi="Arial" w:cs="Arial"/>
          <w:b/>
          <w:i/>
        </w:rPr>
        <w:t xml:space="preserve">y </w:t>
      </w:r>
      <w:r w:rsidR="007854B9" w:rsidRPr="00385B6B">
        <w:rPr>
          <w:rFonts w:ascii="Arial" w:hAnsi="Arial" w:cs="Arial"/>
          <w:b/>
          <w:i/>
        </w:rPr>
        <w:t>de un(a) P</w:t>
      </w:r>
      <w:r w:rsidRPr="00385B6B">
        <w:rPr>
          <w:rFonts w:ascii="Arial" w:hAnsi="Arial" w:cs="Arial"/>
          <w:b/>
          <w:i/>
        </w:rPr>
        <w:t>atrocinador</w:t>
      </w:r>
      <w:r w:rsidR="007854B9" w:rsidRPr="00385B6B">
        <w:rPr>
          <w:rFonts w:ascii="Arial" w:hAnsi="Arial" w:cs="Arial"/>
          <w:b/>
          <w:i/>
        </w:rPr>
        <w:t>(a)</w:t>
      </w:r>
      <w:r w:rsidRPr="00385B6B">
        <w:rPr>
          <w:rFonts w:ascii="Arial" w:hAnsi="Arial" w:cs="Arial"/>
          <w:b/>
          <w:i/>
        </w:rPr>
        <w:t xml:space="preserve"> (colega) (se adjuntan modelos)</w:t>
      </w:r>
      <w:r w:rsidRPr="00385B6B">
        <w:rPr>
          <w:rFonts w:ascii="Arial" w:hAnsi="Arial" w:cs="Arial"/>
        </w:rPr>
        <w:t xml:space="preserve"> donde se señale la relevancia que ha tenido la práctica en el aprendizaje de los y las estudiantes</w:t>
      </w:r>
    </w:p>
    <w:p w14:paraId="27A163A1" w14:textId="77777777" w:rsidR="00A128AD" w:rsidRPr="00385B6B" w:rsidRDefault="005F61ED">
      <w:pPr>
        <w:pStyle w:val="Ttulo1"/>
        <w:numPr>
          <w:ilvl w:val="0"/>
          <w:numId w:val="1"/>
        </w:numPr>
        <w:jc w:val="both"/>
        <w:rPr>
          <w:rFonts w:ascii="Arial" w:hAnsi="Arial" w:cs="Arial"/>
          <w:color w:val="000000"/>
          <w:sz w:val="22"/>
          <w:szCs w:val="22"/>
        </w:rPr>
      </w:pPr>
      <w:bookmarkStart w:id="4" w:name="_heading=h.2et92p0" w:colFirst="0" w:colLast="0"/>
      <w:bookmarkEnd w:id="4"/>
      <w:r w:rsidRPr="00385B6B">
        <w:rPr>
          <w:rFonts w:ascii="Arial" w:hAnsi="Arial" w:cs="Arial"/>
          <w:color w:val="000000"/>
          <w:sz w:val="22"/>
          <w:szCs w:val="22"/>
        </w:rPr>
        <w:t>Elegibilidad y Evaluación de los Postulantes.</w:t>
      </w:r>
    </w:p>
    <w:p w14:paraId="7577EEA0" w14:textId="77777777" w:rsidR="00A128AD" w:rsidRPr="00385B6B" w:rsidRDefault="00A128AD">
      <w:pPr>
        <w:pBdr>
          <w:top w:val="nil"/>
          <w:left w:val="nil"/>
          <w:bottom w:val="nil"/>
          <w:right w:val="nil"/>
          <w:between w:val="nil"/>
        </w:pBdr>
        <w:spacing w:after="0" w:line="240" w:lineRule="auto"/>
        <w:jc w:val="both"/>
        <w:rPr>
          <w:rFonts w:ascii="Arial" w:eastAsia="Calibri" w:hAnsi="Arial" w:cs="Arial"/>
          <w:color w:val="000000"/>
        </w:rPr>
      </w:pPr>
    </w:p>
    <w:p w14:paraId="150A79D9" w14:textId="77777777" w:rsidR="00A128AD" w:rsidRPr="00385B6B" w:rsidRDefault="005F61ED">
      <w:pPr>
        <w:pBdr>
          <w:top w:val="nil"/>
          <w:left w:val="nil"/>
          <w:bottom w:val="nil"/>
          <w:right w:val="nil"/>
          <w:between w:val="nil"/>
        </w:pBdr>
        <w:spacing w:after="0" w:line="240" w:lineRule="auto"/>
        <w:jc w:val="both"/>
        <w:rPr>
          <w:rFonts w:ascii="Arial" w:eastAsia="Calibri" w:hAnsi="Arial" w:cs="Arial"/>
          <w:color w:val="000000"/>
        </w:rPr>
      </w:pPr>
      <w:r w:rsidRPr="00385B6B">
        <w:rPr>
          <w:rFonts w:ascii="Arial" w:eastAsia="Calibri" w:hAnsi="Arial" w:cs="Arial"/>
          <w:color w:val="000000"/>
        </w:rPr>
        <w:t>Las propuestas serán presentadas en formulario</w:t>
      </w:r>
      <w:r w:rsidR="007854B9" w:rsidRPr="00385B6B">
        <w:rPr>
          <w:rFonts w:ascii="Arial" w:eastAsia="Calibri" w:hAnsi="Arial" w:cs="Arial"/>
          <w:color w:val="000000"/>
        </w:rPr>
        <w:t xml:space="preserve"> adjunto, las que serán evaluada</w:t>
      </w:r>
      <w:r w:rsidRPr="00385B6B">
        <w:rPr>
          <w:rFonts w:ascii="Arial" w:eastAsia="Calibri" w:hAnsi="Arial" w:cs="Arial"/>
          <w:color w:val="000000"/>
        </w:rPr>
        <w:t xml:space="preserve">s por representantes de la Vicerrectoría Académica.    </w:t>
      </w:r>
    </w:p>
    <w:p w14:paraId="4DF127EA" w14:textId="77777777" w:rsidR="00A128AD" w:rsidRPr="00385B6B" w:rsidRDefault="00A128AD">
      <w:pPr>
        <w:pBdr>
          <w:top w:val="nil"/>
          <w:left w:val="nil"/>
          <w:bottom w:val="nil"/>
          <w:right w:val="nil"/>
          <w:between w:val="nil"/>
        </w:pBdr>
        <w:spacing w:after="0" w:line="240" w:lineRule="auto"/>
        <w:jc w:val="both"/>
        <w:rPr>
          <w:rFonts w:ascii="Arial" w:eastAsia="Calibri" w:hAnsi="Arial" w:cs="Arial"/>
          <w:color w:val="000000"/>
        </w:rPr>
      </w:pPr>
    </w:p>
    <w:p w14:paraId="37950AAF" w14:textId="77777777" w:rsidR="00A128AD" w:rsidRPr="00385B6B" w:rsidRDefault="005F61ED">
      <w:pPr>
        <w:pBdr>
          <w:top w:val="nil"/>
          <w:left w:val="nil"/>
          <w:bottom w:val="nil"/>
          <w:right w:val="nil"/>
          <w:between w:val="nil"/>
        </w:pBdr>
        <w:spacing w:after="0" w:line="240" w:lineRule="auto"/>
        <w:jc w:val="both"/>
        <w:rPr>
          <w:rFonts w:ascii="Arial" w:eastAsia="Calibri" w:hAnsi="Arial" w:cs="Arial"/>
          <w:color w:val="000000"/>
        </w:rPr>
      </w:pPr>
      <w:r w:rsidRPr="00385B6B">
        <w:rPr>
          <w:rFonts w:ascii="Arial" w:eastAsia="Calibri" w:hAnsi="Arial" w:cs="Arial"/>
          <w:color w:val="000000"/>
        </w:rPr>
        <w:t>La evaluación consistirá en dos etapas:</w:t>
      </w:r>
    </w:p>
    <w:p w14:paraId="6BC7AAC5" w14:textId="77777777" w:rsidR="00A128AD" w:rsidRPr="00385B6B" w:rsidRDefault="00A128AD">
      <w:pPr>
        <w:pBdr>
          <w:top w:val="nil"/>
          <w:left w:val="nil"/>
          <w:bottom w:val="nil"/>
          <w:right w:val="nil"/>
          <w:between w:val="nil"/>
        </w:pBdr>
        <w:spacing w:after="0" w:line="240" w:lineRule="auto"/>
        <w:jc w:val="both"/>
        <w:rPr>
          <w:rFonts w:ascii="Arial" w:eastAsia="Calibri" w:hAnsi="Arial" w:cs="Arial"/>
          <w:color w:val="000000"/>
        </w:rPr>
      </w:pPr>
    </w:p>
    <w:p w14:paraId="65EF478B" w14:textId="77777777" w:rsidR="00A128AD" w:rsidRPr="00385B6B" w:rsidRDefault="005F61ED">
      <w:pPr>
        <w:numPr>
          <w:ilvl w:val="0"/>
          <w:numId w:val="2"/>
        </w:numPr>
        <w:pBdr>
          <w:top w:val="nil"/>
          <w:left w:val="nil"/>
          <w:bottom w:val="nil"/>
          <w:right w:val="nil"/>
          <w:between w:val="nil"/>
        </w:pBdr>
        <w:spacing w:after="0" w:line="240" w:lineRule="auto"/>
        <w:jc w:val="both"/>
        <w:rPr>
          <w:rFonts w:ascii="Arial" w:eastAsia="Calibri" w:hAnsi="Arial" w:cs="Arial"/>
          <w:color w:val="000000"/>
        </w:rPr>
      </w:pPr>
      <w:r w:rsidRPr="00385B6B">
        <w:rPr>
          <w:rFonts w:ascii="Arial" w:eastAsia="Calibri" w:hAnsi="Arial" w:cs="Arial"/>
          <w:color w:val="000000"/>
          <w:u w:val="single"/>
        </w:rPr>
        <w:lastRenderedPageBreak/>
        <w:t>Elegibilidad de</w:t>
      </w:r>
      <w:r w:rsidR="007854B9" w:rsidRPr="00385B6B">
        <w:rPr>
          <w:rFonts w:ascii="Arial" w:eastAsia="Calibri" w:hAnsi="Arial" w:cs="Arial"/>
          <w:color w:val="000000"/>
          <w:u w:val="single"/>
        </w:rPr>
        <w:t xml:space="preserve"> </w:t>
      </w:r>
      <w:r w:rsidRPr="00385B6B">
        <w:rPr>
          <w:rFonts w:ascii="Arial" w:eastAsia="Calibri" w:hAnsi="Arial" w:cs="Arial"/>
          <w:color w:val="000000"/>
          <w:u w:val="single"/>
        </w:rPr>
        <w:t>l</w:t>
      </w:r>
      <w:r w:rsidR="007854B9" w:rsidRPr="00385B6B">
        <w:rPr>
          <w:rFonts w:ascii="Arial" w:eastAsia="Calibri" w:hAnsi="Arial" w:cs="Arial"/>
          <w:color w:val="000000"/>
          <w:u w:val="single"/>
        </w:rPr>
        <w:t>a</w:t>
      </w:r>
      <w:r w:rsidRPr="00385B6B">
        <w:rPr>
          <w:rFonts w:ascii="Arial" w:eastAsia="Calibri" w:hAnsi="Arial" w:cs="Arial"/>
          <w:color w:val="000000"/>
          <w:u w:val="single"/>
        </w:rPr>
        <w:t xml:space="preserve"> pr</w:t>
      </w:r>
      <w:r w:rsidR="007854B9" w:rsidRPr="00385B6B">
        <w:rPr>
          <w:rFonts w:ascii="Arial" w:eastAsia="Calibri" w:hAnsi="Arial" w:cs="Arial"/>
          <w:color w:val="000000"/>
          <w:u w:val="single"/>
        </w:rPr>
        <w:t>esentación</w:t>
      </w:r>
      <w:r w:rsidRPr="00385B6B">
        <w:rPr>
          <w:rFonts w:ascii="Arial" w:eastAsia="Calibri" w:hAnsi="Arial" w:cs="Arial"/>
          <w:color w:val="000000"/>
        </w:rPr>
        <w:t>: se verificará que el formulario y los antecedentes solicitados estén completos (cartas de apoyo)</w:t>
      </w:r>
      <w:r w:rsidRPr="00385B6B">
        <w:rPr>
          <w:rFonts w:ascii="Arial" w:eastAsia="Calibri" w:hAnsi="Arial" w:cs="Arial"/>
          <w:color w:val="000000"/>
          <w:vertAlign w:val="superscript"/>
        </w:rPr>
        <w:footnoteReference w:id="5"/>
      </w:r>
      <w:r w:rsidRPr="00385B6B">
        <w:rPr>
          <w:rFonts w:ascii="Arial" w:eastAsia="Calibri" w:hAnsi="Arial" w:cs="Arial"/>
          <w:color w:val="000000"/>
        </w:rPr>
        <w:t xml:space="preserve">. </w:t>
      </w:r>
    </w:p>
    <w:p w14:paraId="279882A1" w14:textId="77777777" w:rsidR="00A128AD" w:rsidRPr="00385B6B" w:rsidRDefault="005F61ED">
      <w:pPr>
        <w:numPr>
          <w:ilvl w:val="0"/>
          <w:numId w:val="2"/>
        </w:numPr>
        <w:pBdr>
          <w:top w:val="nil"/>
          <w:left w:val="nil"/>
          <w:bottom w:val="nil"/>
          <w:right w:val="nil"/>
          <w:between w:val="nil"/>
        </w:pBdr>
        <w:spacing w:after="0" w:line="240" w:lineRule="auto"/>
        <w:jc w:val="both"/>
        <w:rPr>
          <w:rFonts w:ascii="Arial" w:eastAsia="Calibri" w:hAnsi="Arial" w:cs="Arial"/>
          <w:color w:val="000000"/>
        </w:rPr>
      </w:pPr>
      <w:r w:rsidRPr="00385B6B">
        <w:rPr>
          <w:rFonts w:ascii="Arial" w:eastAsia="Calibri" w:hAnsi="Arial" w:cs="Arial"/>
          <w:color w:val="000000"/>
          <w:u w:val="single"/>
        </w:rPr>
        <w:t>Evaluación de las pr</w:t>
      </w:r>
      <w:r w:rsidR="007854B9" w:rsidRPr="00385B6B">
        <w:rPr>
          <w:rFonts w:ascii="Arial" w:eastAsia="Calibri" w:hAnsi="Arial" w:cs="Arial"/>
          <w:color w:val="000000"/>
          <w:u w:val="single"/>
        </w:rPr>
        <w:t>esentaci</w:t>
      </w:r>
      <w:r w:rsidRPr="00385B6B">
        <w:rPr>
          <w:rFonts w:ascii="Arial" w:eastAsia="Calibri" w:hAnsi="Arial" w:cs="Arial"/>
          <w:color w:val="000000"/>
          <w:u w:val="single"/>
        </w:rPr>
        <w:t>o</w:t>
      </w:r>
      <w:r w:rsidR="007854B9" w:rsidRPr="00385B6B">
        <w:rPr>
          <w:rFonts w:ascii="Arial" w:eastAsia="Calibri" w:hAnsi="Arial" w:cs="Arial"/>
          <w:color w:val="000000"/>
          <w:u w:val="single"/>
        </w:rPr>
        <w:t>nes</w:t>
      </w:r>
      <w:r w:rsidR="007854B9" w:rsidRPr="00385B6B">
        <w:rPr>
          <w:rFonts w:ascii="Arial" w:eastAsia="Calibri" w:hAnsi="Arial" w:cs="Arial"/>
          <w:color w:val="000000"/>
        </w:rPr>
        <w:t>: las presentaciones</w:t>
      </w:r>
      <w:r w:rsidRPr="00385B6B">
        <w:rPr>
          <w:rFonts w:ascii="Arial" w:eastAsia="Calibri" w:hAnsi="Arial" w:cs="Arial"/>
          <w:color w:val="000000"/>
        </w:rPr>
        <w:t xml:space="preserve"> serán enviadas a </w:t>
      </w:r>
      <w:r w:rsidR="001A66E7" w:rsidRPr="00385B6B">
        <w:rPr>
          <w:rFonts w:ascii="Arial" w:eastAsia="Calibri" w:hAnsi="Arial" w:cs="Arial"/>
          <w:color w:val="000000"/>
        </w:rPr>
        <w:t>cinco integrantes</w:t>
      </w:r>
      <w:r w:rsidRPr="00385B6B">
        <w:rPr>
          <w:rFonts w:ascii="Arial" w:eastAsia="Calibri" w:hAnsi="Arial" w:cs="Arial"/>
          <w:color w:val="000000"/>
        </w:rPr>
        <w:t xml:space="preserve"> de la Vicerrectoría Académica quienes asignarán puntajes de acuerdo a las dimensiones que se especifican más adelante. </w:t>
      </w:r>
    </w:p>
    <w:p w14:paraId="20D819E1" w14:textId="77777777" w:rsidR="00A128AD" w:rsidRPr="00385B6B" w:rsidRDefault="005F61ED">
      <w:pPr>
        <w:numPr>
          <w:ilvl w:val="0"/>
          <w:numId w:val="2"/>
        </w:numPr>
        <w:pBdr>
          <w:top w:val="nil"/>
          <w:left w:val="nil"/>
          <w:bottom w:val="nil"/>
          <w:right w:val="nil"/>
          <w:between w:val="nil"/>
        </w:pBdr>
        <w:spacing w:after="0" w:line="240" w:lineRule="auto"/>
        <w:jc w:val="both"/>
        <w:rPr>
          <w:rFonts w:ascii="Arial" w:eastAsia="Calibri" w:hAnsi="Arial" w:cs="Arial"/>
          <w:color w:val="000000"/>
        </w:rPr>
      </w:pPr>
      <w:bookmarkStart w:id="5" w:name="_heading=h.tyjcwt" w:colFirst="0" w:colLast="0"/>
      <w:bookmarkEnd w:id="5"/>
      <w:r w:rsidRPr="00385B6B">
        <w:rPr>
          <w:rFonts w:ascii="Arial" w:eastAsia="Calibri" w:hAnsi="Arial" w:cs="Arial"/>
          <w:color w:val="000000"/>
          <w:u w:val="single"/>
        </w:rPr>
        <w:t xml:space="preserve">Las prácticas presentadas </w:t>
      </w:r>
      <w:r w:rsidRPr="00385B6B">
        <w:rPr>
          <w:rFonts w:ascii="Arial" w:eastAsia="Calibri" w:hAnsi="Arial" w:cs="Arial"/>
          <w:color w:val="000000"/>
        </w:rPr>
        <w:t>deberán ser experiencias aplicadas en una o más asignaturas, con a lo más tres semestres</w:t>
      </w:r>
      <w:r w:rsidR="007854B9" w:rsidRPr="00385B6B">
        <w:rPr>
          <w:rFonts w:ascii="Arial" w:eastAsia="Calibri" w:hAnsi="Arial" w:cs="Arial"/>
          <w:color w:val="000000"/>
        </w:rPr>
        <w:t xml:space="preserve"> o trimestres </w:t>
      </w:r>
      <w:r w:rsidRPr="00385B6B">
        <w:rPr>
          <w:rFonts w:ascii="Arial" w:eastAsia="Calibri" w:hAnsi="Arial" w:cs="Arial"/>
          <w:color w:val="000000"/>
        </w:rPr>
        <w:t xml:space="preserve">de anterioridad. </w:t>
      </w:r>
    </w:p>
    <w:p w14:paraId="1D6599D8" w14:textId="77777777" w:rsidR="00BA0331" w:rsidRPr="00385B6B" w:rsidRDefault="00BA0331">
      <w:pPr>
        <w:pBdr>
          <w:top w:val="nil"/>
          <w:left w:val="nil"/>
          <w:bottom w:val="nil"/>
          <w:right w:val="nil"/>
          <w:between w:val="nil"/>
        </w:pBdr>
        <w:spacing w:line="240" w:lineRule="auto"/>
        <w:ind w:left="720"/>
        <w:jc w:val="both"/>
        <w:rPr>
          <w:rFonts w:ascii="Arial" w:eastAsia="Calibri" w:hAnsi="Arial" w:cs="Arial"/>
          <w:color w:val="000000"/>
        </w:rPr>
      </w:pPr>
    </w:p>
    <w:tbl>
      <w:tblPr>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00" w:firstRow="0" w:lastRow="0" w:firstColumn="0" w:lastColumn="0" w:noHBand="0" w:noVBand="1"/>
      </w:tblPr>
      <w:tblGrid>
        <w:gridCol w:w="6941"/>
        <w:gridCol w:w="1728"/>
      </w:tblGrid>
      <w:tr w:rsidR="001A66E7" w:rsidRPr="001A66E7" w14:paraId="5E9BDA05" w14:textId="77777777" w:rsidTr="00385B6B">
        <w:trPr>
          <w:trHeight w:val="215"/>
        </w:trPr>
        <w:tc>
          <w:tcPr>
            <w:tcW w:w="6941" w:type="dxa"/>
            <w:shd w:val="clear" w:color="auto" w:fill="D2DEEF"/>
            <w:tcMar>
              <w:top w:w="15" w:type="dxa"/>
              <w:left w:w="70" w:type="dxa"/>
              <w:bottom w:w="0" w:type="dxa"/>
              <w:right w:w="70" w:type="dxa"/>
            </w:tcMar>
            <w:hideMark/>
          </w:tcPr>
          <w:p w14:paraId="5DCBA36C" w14:textId="77777777" w:rsidR="001A66E7" w:rsidRPr="001A66E7" w:rsidRDefault="001A66E7" w:rsidP="001A66E7">
            <w:pPr>
              <w:jc w:val="center"/>
              <w:rPr>
                <w:rFonts w:ascii="Arial" w:eastAsia="Times New Roman" w:hAnsi="Arial" w:cs="Arial"/>
                <w:sz w:val="20"/>
                <w:szCs w:val="20"/>
              </w:rPr>
            </w:pPr>
            <w:r w:rsidRPr="001A66E7">
              <w:rPr>
                <w:rFonts w:ascii="Arial" w:eastAsia="Times New Roman" w:hAnsi="Arial" w:cs="Arial"/>
                <w:color w:val="000000" w:themeColor="dark1"/>
                <w:kern w:val="24"/>
                <w:sz w:val="20"/>
                <w:szCs w:val="20"/>
              </w:rPr>
              <w:t>Dimensión a evaluar</w:t>
            </w:r>
          </w:p>
        </w:tc>
        <w:tc>
          <w:tcPr>
            <w:tcW w:w="1728" w:type="dxa"/>
            <w:shd w:val="clear" w:color="auto" w:fill="D2DEEF"/>
            <w:tcMar>
              <w:top w:w="15" w:type="dxa"/>
              <w:left w:w="70" w:type="dxa"/>
              <w:bottom w:w="0" w:type="dxa"/>
              <w:right w:w="70" w:type="dxa"/>
            </w:tcMar>
            <w:hideMark/>
          </w:tcPr>
          <w:p w14:paraId="684949A9" w14:textId="77777777" w:rsidR="001A66E7" w:rsidRPr="001A66E7" w:rsidRDefault="001A66E7" w:rsidP="001A66E7">
            <w:pPr>
              <w:jc w:val="center"/>
              <w:rPr>
                <w:rFonts w:ascii="Arial" w:eastAsia="Times New Roman" w:hAnsi="Arial" w:cs="Arial"/>
                <w:sz w:val="20"/>
                <w:szCs w:val="20"/>
              </w:rPr>
            </w:pPr>
            <w:r w:rsidRPr="001A66E7">
              <w:rPr>
                <w:rFonts w:ascii="Arial" w:eastAsia="Times New Roman" w:hAnsi="Arial" w:cs="Arial"/>
                <w:color w:val="000000" w:themeColor="dark1"/>
                <w:kern w:val="24"/>
                <w:sz w:val="20"/>
                <w:szCs w:val="20"/>
              </w:rPr>
              <w:t>Puntaje máximo</w:t>
            </w:r>
          </w:p>
        </w:tc>
      </w:tr>
      <w:tr w:rsidR="001A66E7" w:rsidRPr="001A66E7" w14:paraId="6134F270" w14:textId="77777777" w:rsidTr="00385B6B">
        <w:trPr>
          <w:trHeight w:val="643"/>
        </w:trPr>
        <w:tc>
          <w:tcPr>
            <w:tcW w:w="6941" w:type="dxa"/>
            <w:shd w:val="clear" w:color="auto" w:fill="EDEDED" w:themeFill="accent3" w:themeFillTint="33"/>
            <w:tcMar>
              <w:top w:w="15" w:type="dxa"/>
              <w:left w:w="70" w:type="dxa"/>
              <w:bottom w:w="0" w:type="dxa"/>
              <w:right w:w="70" w:type="dxa"/>
            </w:tcMar>
            <w:hideMark/>
          </w:tcPr>
          <w:p w14:paraId="1C07D4CD" w14:textId="77777777" w:rsidR="001A66E7" w:rsidRPr="001A66E7" w:rsidRDefault="001A66E7" w:rsidP="001A66E7">
            <w:pPr>
              <w:jc w:val="both"/>
              <w:rPr>
                <w:rFonts w:ascii="Arial" w:eastAsia="Times New Roman" w:hAnsi="Arial" w:cs="Arial"/>
                <w:sz w:val="20"/>
                <w:szCs w:val="20"/>
              </w:rPr>
            </w:pPr>
            <w:r w:rsidRPr="00385B6B">
              <w:rPr>
                <w:rFonts w:ascii="Arial" w:eastAsia="Times New Roman" w:hAnsi="Arial" w:cs="Arial"/>
                <w:sz w:val="20"/>
                <w:szCs w:val="20"/>
              </w:rPr>
              <w:t xml:space="preserve">La presentación describe la práctica sus objetivos o propósitos y estos están alineados con el programa y syllabus de la </w:t>
            </w:r>
            <w:r w:rsidR="00385B6B" w:rsidRPr="00385B6B">
              <w:rPr>
                <w:rFonts w:ascii="Arial" w:eastAsia="Times New Roman" w:hAnsi="Arial" w:cs="Arial"/>
                <w:sz w:val="20"/>
                <w:szCs w:val="20"/>
              </w:rPr>
              <w:t>asignatura</w:t>
            </w:r>
          </w:p>
        </w:tc>
        <w:tc>
          <w:tcPr>
            <w:tcW w:w="1728" w:type="dxa"/>
            <w:shd w:val="clear" w:color="auto" w:fill="EDEDED" w:themeFill="accent3" w:themeFillTint="33"/>
            <w:tcMar>
              <w:top w:w="15" w:type="dxa"/>
              <w:left w:w="70" w:type="dxa"/>
              <w:bottom w:w="0" w:type="dxa"/>
              <w:right w:w="70" w:type="dxa"/>
            </w:tcMar>
            <w:hideMark/>
          </w:tcPr>
          <w:p w14:paraId="737B6DEC" w14:textId="77777777" w:rsidR="001A66E7" w:rsidRPr="001A66E7" w:rsidRDefault="00385B6B" w:rsidP="001A66E7">
            <w:pPr>
              <w:jc w:val="center"/>
              <w:rPr>
                <w:rFonts w:ascii="Arial" w:eastAsia="Times New Roman" w:hAnsi="Arial" w:cs="Arial"/>
                <w:sz w:val="20"/>
                <w:szCs w:val="20"/>
              </w:rPr>
            </w:pPr>
            <w:r w:rsidRPr="00385B6B">
              <w:rPr>
                <w:rFonts w:ascii="Arial" w:eastAsia="Times New Roman" w:hAnsi="Arial" w:cs="Arial"/>
                <w:sz w:val="20"/>
                <w:szCs w:val="20"/>
              </w:rPr>
              <w:t>20</w:t>
            </w:r>
          </w:p>
        </w:tc>
      </w:tr>
      <w:tr w:rsidR="001A66E7" w:rsidRPr="00385B6B" w14:paraId="0D552C04" w14:textId="77777777" w:rsidTr="00385B6B">
        <w:trPr>
          <w:trHeight w:val="738"/>
        </w:trPr>
        <w:tc>
          <w:tcPr>
            <w:tcW w:w="6941" w:type="dxa"/>
            <w:shd w:val="clear" w:color="auto" w:fill="DBDBDB" w:themeFill="accent3" w:themeFillTint="66"/>
            <w:tcMar>
              <w:top w:w="15" w:type="dxa"/>
              <w:left w:w="70" w:type="dxa"/>
              <w:bottom w:w="0" w:type="dxa"/>
              <w:right w:w="70" w:type="dxa"/>
            </w:tcMar>
          </w:tcPr>
          <w:p w14:paraId="4745AEB2" w14:textId="77777777" w:rsidR="001A66E7" w:rsidRPr="00385B6B" w:rsidRDefault="001A66E7" w:rsidP="001A66E7">
            <w:pPr>
              <w:jc w:val="both"/>
              <w:rPr>
                <w:rFonts w:ascii="Arial" w:eastAsia="Times New Roman" w:hAnsi="Arial" w:cs="Arial"/>
                <w:color w:val="000000" w:themeColor="dark1"/>
                <w:kern w:val="24"/>
                <w:sz w:val="20"/>
                <w:szCs w:val="20"/>
              </w:rPr>
            </w:pPr>
            <w:r w:rsidRPr="00385B6B">
              <w:rPr>
                <w:rFonts w:ascii="Arial" w:eastAsia="Times New Roman" w:hAnsi="Arial" w:cs="Arial"/>
                <w:color w:val="000000" w:themeColor="dark1"/>
                <w:kern w:val="24"/>
                <w:sz w:val="20"/>
                <w:szCs w:val="20"/>
              </w:rPr>
              <w:t>La presentación describe las estrategias didácticas o metodológicas que se han incorporado en la “buena práctica”, detallando las etapas que se siguió, su planificación o syllabus</w:t>
            </w:r>
          </w:p>
        </w:tc>
        <w:tc>
          <w:tcPr>
            <w:tcW w:w="1728" w:type="dxa"/>
            <w:shd w:val="clear" w:color="auto" w:fill="DBDBDB" w:themeFill="accent3" w:themeFillTint="66"/>
            <w:tcMar>
              <w:top w:w="15" w:type="dxa"/>
              <w:left w:w="70" w:type="dxa"/>
              <w:bottom w:w="0" w:type="dxa"/>
              <w:right w:w="70" w:type="dxa"/>
            </w:tcMar>
          </w:tcPr>
          <w:p w14:paraId="574BADBE" w14:textId="77777777" w:rsidR="001A66E7" w:rsidRPr="00385B6B" w:rsidRDefault="001A66E7" w:rsidP="001A66E7">
            <w:pPr>
              <w:jc w:val="center"/>
              <w:rPr>
                <w:rFonts w:ascii="Arial" w:eastAsia="Times New Roman" w:hAnsi="Arial" w:cs="Arial"/>
                <w:color w:val="000000" w:themeColor="dark1"/>
                <w:kern w:val="24"/>
                <w:sz w:val="20"/>
                <w:szCs w:val="20"/>
              </w:rPr>
            </w:pPr>
            <w:r w:rsidRPr="00385B6B">
              <w:rPr>
                <w:rFonts w:ascii="Arial" w:eastAsia="Times New Roman" w:hAnsi="Arial" w:cs="Arial"/>
                <w:color w:val="000000" w:themeColor="dark1"/>
                <w:kern w:val="24"/>
                <w:sz w:val="20"/>
                <w:szCs w:val="20"/>
              </w:rPr>
              <w:t>20</w:t>
            </w:r>
          </w:p>
        </w:tc>
      </w:tr>
      <w:tr w:rsidR="001A66E7" w:rsidRPr="001A66E7" w14:paraId="2CDB5F53" w14:textId="77777777" w:rsidTr="00385B6B">
        <w:trPr>
          <w:trHeight w:val="852"/>
        </w:trPr>
        <w:tc>
          <w:tcPr>
            <w:tcW w:w="6941" w:type="dxa"/>
            <w:shd w:val="clear" w:color="auto" w:fill="EDEDED" w:themeFill="accent3" w:themeFillTint="33"/>
            <w:tcMar>
              <w:top w:w="15" w:type="dxa"/>
              <w:left w:w="70" w:type="dxa"/>
              <w:bottom w:w="0" w:type="dxa"/>
              <w:right w:w="70" w:type="dxa"/>
            </w:tcMar>
            <w:hideMark/>
          </w:tcPr>
          <w:p w14:paraId="17864EB3" w14:textId="77777777" w:rsidR="001A66E7" w:rsidRPr="001A66E7" w:rsidRDefault="001A66E7" w:rsidP="001A66E7">
            <w:pPr>
              <w:jc w:val="both"/>
              <w:rPr>
                <w:rFonts w:ascii="Arial" w:eastAsia="Times New Roman" w:hAnsi="Arial" w:cs="Arial"/>
                <w:sz w:val="20"/>
                <w:szCs w:val="20"/>
              </w:rPr>
            </w:pPr>
            <w:r w:rsidRPr="001A66E7">
              <w:rPr>
                <w:rFonts w:ascii="Arial" w:eastAsia="Times New Roman" w:hAnsi="Arial" w:cs="Arial"/>
                <w:color w:val="000000" w:themeColor="dark1"/>
                <w:kern w:val="24"/>
                <w:sz w:val="20"/>
                <w:szCs w:val="20"/>
              </w:rPr>
              <w:t>La propuesta presenta la descripción de las formas en que fue evaluada la incidencia de la “buena práctica”, incluyendo calificaciones y/o  comentarios u opiniones de los y las estudiantes que pudo recoger.</w:t>
            </w:r>
          </w:p>
        </w:tc>
        <w:tc>
          <w:tcPr>
            <w:tcW w:w="1728" w:type="dxa"/>
            <w:shd w:val="clear" w:color="auto" w:fill="EDEDED" w:themeFill="accent3" w:themeFillTint="33"/>
            <w:tcMar>
              <w:top w:w="15" w:type="dxa"/>
              <w:left w:w="70" w:type="dxa"/>
              <w:bottom w:w="0" w:type="dxa"/>
              <w:right w:w="70" w:type="dxa"/>
            </w:tcMar>
            <w:hideMark/>
          </w:tcPr>
          <w:p w14:paraId="1685FA2D" w14:textId="77777777" w:rsidR="001A66E7" w:rsidRPr="001A66E7" w:rsidRDefault="001A66E7" w:rsidP="001A66E7">
            <w:pPr>
              <w:jc w:val="center"/>
              <w:rPr>
                <w:rFonts w:ascii="Arial" w:eastAsia="Times New Roman" w:hAnsi="Arial" w:cs="Arial"/>
                <w:sz w:val="20"/>
                <w:szCs w:val="20"/>
              </w:rPr>
            </w:pPr>
            <w:r w:rsidRPr="001A66E7">
              <w:rPr>
                <w:rFonts w:ascii="Arial" w:eastAsia="Times New Roman" w:hAnsi="Arial" w:cs="Arial"/>
                <w:color w:val="000000" w:themeColor="dark1"/>
                <w:kern w:val="24"/>
                <w:sz w:val="20"/>
                <w:szCs w:val="20"/>
              </w:rPr>
              <w:t>20</w:t>
            </w:r>
          </w:p>
        </w:tc>
      </w:tr>
      <w:tr w:rsidR="001A66E7" w:rsidRPr="001A66E7" w14:paraId="08C26124" w14:textId="77777777" w:rsidTr="00385B6B">
        <w:trPr>
          <w:trHeight w:val="541"/>
        </w:trPr>
        <w:tc>
          <w:tcPr>
            <w:tcW w:w="6941" w:type="dxa"/>
            <w:shd w:val="clear" w:color="auto" w:fill="DBDBDB" w:themeFill="accent3" w:themeFillTint="66"/>
            <w:tcMar>
              <w:top w:w="15" w:type="dxa"/>
              <w:left w:w="70" w:type="dxa"/>
              <w:bottom w:w="0" w:type="dxa"/>
              <w:right w:w="70" w:type="dxa"/>
            </w:tcMar>
            <w:hideMark/>
          </w:tcPr>
          <w:p w14:paraId="76E4B7DC" w14:textId="77777777" w:rsidR="001A66E7" w:rsidRPr="001A66E7" w:rsidRDefault="001A66E7" w:rsidP="001A66E7">
            <w:pPr>
              <w:jc w:val="both"/>
              <w:rPr>
                <w:rFonts w:ascii="Arial" w:eastAsia="Times New Roman" w:hAnsi="Arial" w:cs="Arial"/>
                <w:sz w:val="20"/>
                <w:szCs w:val="20"/>
              </w:rPr>
            </w:pPr>
            <w:r w:rsidRPr="001A66E7">
              <w:rPr>
                <w:rFonts w:ascii="Arial" w:eastAsia="Times New Roman" w:hAnsi="Arial" w:cs="Arial"/>
                <w:color w:val="000000" w:themeColor="dark1"/>
                <w:kern w:val="24"/>
                <w:sz w:val="20"/>
                <w:szCs w:val="20"/>
              </w:rPr>
              <w:t>La propuesta evidencia condiciones de posibilidad para su transferencia  y mejora</w:t>
            </w:r>
            <w:r w:rsidR="00385B6B" w:rsidRPr="00385B6B">
              <w:rPr>
                <w:rFonts w:ascii="Arial" w:eastAsia="Times New Roman" w:hAnsi="Arial" w:cs="Arial"/>
                <w:color w:val="000000" w:themeColor="dark1"/>
                <w:kern w:val="24"/>
                <w:sz w:val="20"/>
                <w:szCs w:val="20"/>
              </w:rPr>
              <w:t>.</w:t>
            </w:r>
          </w:p>
        </w:tc>
        <w:tc>
          <w:tcPr>
            <w:tcW w:w="1728" w:type="dxa"/>
            <w:shd w:val="clear" w:color="auto" w:fill="DBDBDB" w:themeFill="accent3" w:themeFillTint="66"/>
            <w:tcMar>
              <w:top w:w="15" w:type="dxa"/>
              <w:left w:w="70" w:type="dxa"/>
              <w:bottom w:w="0" w:type="dxa"/>
              <w:right w:w="70" w:type="dxa"/>
            </w:tcMar>
            <w:hideMark/>
          </w:tcPr>
          <w:p w14:paraId="3F6E626A" w14:textId="77777777" w:rsidR="001A66E7" w:rsidRPr="001A66E7" w:rsidRDefault="001A66E7" w:rsidP="001A66E7">
            <w:pPr>
              <w:jc w:val="center"/>
              <w:rPr>
                <w:rFonts w:ascii="Arial" w:eastAsia="Times New Roman" w:hAnsi="Arial" w:cs="Arial"/>
                <w:sz w:val="20"/>
                <w:szCs w:val="20"/>
              </w:rPr>
            </w:pPr>
            <w:r w:rsidRPr="001A66E7">
              <w:rPr>
                <w:rFonts w:ascii="Arial" w:eastAsia="Times New Roman" w:hAnsi="Arial" w:cs="Arial"/>
                <w:color w:val="000000" w:themeColor="dark1"/>
                <w:kern w:val="24"/>
                <w:sz w:val="20"/>
                <w:szCs w:val="20"/>
              </w:rPr>
              <w:t>20</w:t>
            </w:r>
          </w:p>
        </w:tc>
      </w:tr>
      <w:tr w:rsidR="001A66E7" w:rsidRPr="001A66E7" w14:paraId="07B6908A" w14:textId="77777777" w:rsidTr="00385B6B">
        <w:trPr>
          <w:trHeight w:val="495"/>
        </w:trPr>
        <w:tc>
          <w:tcPr>
            <w:tcW w:w="6941" w:type="dxa"/>
            <w:shd w:val="clear" w:color="auto" w:fill="EDEDED" w:themeFill="accent3" w:themeFillTint="33"/>
            <w:tcMar>
              <w:top w:w="15" w:type="dxa"/>
              <w:left w:w="70" w:type="dxa"/>
              <w:bottom w:w="0" w:type="dxa"/>
              <w:right w:w="70" w:type="dxa"/>
            </w:tcMar>
            <w:hideMark/>
          </w:tcPr>
          <w:p w14:paraId="24155362" w14:textId="77777777" w:rsidR="001A66E7" w:rsidRPr="001A66E7" w:rsidRDefault="001A66E7" w:rsidP="001A66E7">
            <w:pPr>
              <w:jc w:val="both"/>
              <w:rPr>
                <w:rFonts w:ascii="Arial" w:eastAsia="Times New Roman" w:hAnsi="Arial" w:cs="Arial"/>
                <w:sz w:val="20"/>
                <w:szCs w:val="20"/>
              </w:rPr>
            </w:pPr>
            <w:r w:rsidRPr="001A66E7">
              <w:rPr>
                <w:rFonts w:ascii="Arial" w:eastAsia="Times New Roman" w:hAnsi="Arial" w:cs="Arial"/>
                <w:color w:val="000000" w:themeColor="dark1"/>
                <w:kern w:val="24"/>
                <w:sz w:val="20"/>
                <w:szCs w:val="20"/>
              </w:rPr>
              <w:t xml:space="preserve">La propuesta evidencia los valores institucionales que estaban a la base de la misma </w:t>
            </w:r>
          </w:p>
        </w:tc>
        <w:tc>
          <w:tcPr>
            <w:tcW w:w="1728" w:type="dxa"/>
            <w:shd w:val="clear" w:color="auto" w:fill="EDEDED" w:themeFill="accent3" w:themeFillTint="33"/>
            <w:tcMar>
              <w:top w:w="15" w:type="dxa"/>
              <w:left w:w="70" w:type="dxa"/>
              <w:bottom w:w="0" w:type="dxa"/>
              <w:right w:w="70" w:type="dxa"/>
            </w:tcMar>
            <w:hideMark/>
          </w:tcPr>
          <w:p w14:paraId="612C9E02" w14:textId="77777777" w:rsidR="001A66E7" w:rsidRPr="001A66E7" w:rsidRDefault="001A66E7" w:rsidP="001A66E7">
            <w:pPr>
              <w:jc w:val="center"/>
              <w:rPr>
                <w:rFonts w:ascii="Arial" w:eastAsia="Times New Roman" w:hAnsi="Arial" w:cs="Arial"/>
                <w:sz w:val="20"/>
                <w:szCs w:val="20"/>
              </w:rPr>
            </w:pPr>
            <w:r w:rsidRPr="001A66E7">
              <w:rPr>
                <w:rFonts w:ascii="Arial" w:eastAsia="Times New Roman" w:hAnsi="Arial" w:cs="Arial"/>
                <w:color w:val="000000" w:themeColor="dark1"/>
                <w:kern w:val="24"/>
                <w:sz w:val="20"/>
                <w:szCs w:val="20"/>
              </w:rPr>
              <w:t>20</w:t>
            </w:r>
          </w:p>
        </w:tc>
      </w:tr>
      <w:tr w:rsidR="001A66E7" w:rsidRPr="001A66E7" w14:paraId="70DEDD2E" w14:textId="77777777" w:rsidTr="00385B6B">
        <w:trPr>
          <w:trHeight w:val="274"/>
        </w:trPr>
        <w:tc>
          <w:tcPr>
            <w:tcW w:w="6941" w:type="dxa"/>
            <w:shd w:val="clear" w:color="auto" w:fill="DBDBDB" w:themeFill="accent3" w:themeFillTint="66"/>
            <w:tcMar>
              <w:top w:w="15" w:type="dxa"/>
              <w:left w:w="70" w:type="dxa"/>
              <w:bottom w:w="0" w:type="dxa"/>
              <w:right w:w="70" w:type="dxa"/>
            </w:tcMar>
            <w:hideMark/>
          </w:tcPr>
          <w:p w14:paraId="01D3C17F" w14:textId="77777777" w:rsidR="001A66E7" w:rsidRPr="001A66E7" w:rsidRDefault="001A66E7" w:rsidP="001A66E7">
            <w:pPr>
              <w:jc w:val="right"/>
              <w:rPr>
                <w:rFonts w:ascii="Arial" w:eastAsia="Times New Roman" w:hAnsi="Arial" w:cs="Arial"/>
                <w:sz w:val="20"/>
                <w:szCs w:val="20"/>
              </w:rPr>
            </w:pPr>
            <w:r w:rsidRPr="001A66E7">
              <w:rPr>
                <w:rFonts w:ascii="Arial" w:eastAsia="Times New Roman" w:hAnsi="Arial" w:cs="Arial"/>
                <w:color w:val="000000" w:themeColor="dark1"/>
                <w:kern w:val="24"/>
                <w:sz w:val="20"/>
                <w:szCs w:val="20"/>
              </w:rPr>
              <w:t>Puntaje Total</w:t>
            </w:r>
          </w:p>
        </w:tc>
        <w:tc>
          <w:tcPr>
            <w:tcW w:w="1728" w:type="dxa"/>
            <w:shd w:val="clear" w:color="auto" w:fill="DBDBDB" w:themeFill="accent3" w:themeFillTint="66"/>
            <w:tcMar>
              <w:top w:w="15" w:type="dxa"/>
              <w:left w:w="70" w:type="dxa"/>
              <w:bottom w:w="0" w:type="dxa"/>
              <w:right w:w="70" w:type="dxa"/>
            </w:tcMar>
            <w:hideMark/>
          </w:tcPr>
          <w:p w14:paraId="33B2E3ED" w14:textId="77777777" w:rsidR="001A66E7" w:rsidRPr="001A66E7" w:rsidRDefault="001A66E7" w:rsidP="001A66E7">
            <w:pPr>
              <w:jc w:val="center"/>
              <w:rPr>
                <w:rFonts w:ascii="Arial" w:eastAsia="Times New Roman" w:hAnsi="Arial" w:cs="Arial"/>
                <w:sz w:val="20"/>
                <w:szCs w:val="20"/>
              </w:rPr>
            </w:pPr>
            <w:r w:rsidRPr="001A66E7">
              <w:rPr>
                <w:rFonts w:ascii="Arial" w:eastAsia="Times New Roman" w:hAnsi="Arial" w:cs="Arial"/>
                <w:color w:val="000000" w:themeColor="dark1"/>
                <w:kern w:val="24"/>
                <w:sz w:val="20"/>
                <w:szCs w:val="20"/>
              </w:rPr>
              <w:t xml:space="preserve">100 puntos </w:t>
            </w:r>
          </w:p>
        </w:tc>
      </w:tr>
    </w:tbl>
    <w:p w14:paraId="30D815A3" w14:textId="77777777" w:rsidR="00A128AD" w:rsidRPr="00385B6B" w:rsidRDefault="00A128AD">
      <w:pPr>
        <w:tabs>
          <w:tab w:val="left" w:pos="993"/>
        </w:tabs>
        <w:spacing w:line="240" w:lineRule="auto"/>
        <w:jc w:val="both"/>
        <w:rPr>
          <w:rFonts w:ascii="Arial" w:hAnsi="Arial" w:cs="Arial"/>
        </w:rPr>
      </w:pPr>
    </w:p>
    <w:p w14:paraId="6CC2E5A7" w14:textId="77777777" w:rsidR="00385B6B" w:rsidRPr="00385B6B" w:rsidRDefault="00385B6B">
      <w:pPr>
        <w:tabs>
          <w:tab w:val="left" w:pos="993"/>
        </w:tabs>
        <w:spacing w:line="240" w:lineRule="auto"/>
        <w:jc w:val="both"/>
        <w:rPr>
          <w:rFonts w:ascii="Arial" w:hAnsi="Arial" w:cs="Arial"/>
          <w:b/>
        </w:rPr>
      </w:pPr>
      <w:r w:rsidRPr="00385B6B">
        <w:rPr>
          <w:rFonts w:ascii="Arial" w:hAnsi="Arial" w:cs="Arial"/>
          <w:b/>
        </w:rPr>
        <w:t>Premiación</w:t>
      </w:r>
    </w:p>
    <w:p w14:paraId="0BF136E6" w14:textId="77777777" w:rsidR="00385B6B" w:rsidRPr="00385B6B" w:rsidRDefault="005F61ED" w:rsidP="007854B9">
      <w:pPr>
        <w:tabs>
          <w:tab w:val="left" w:pos="993"/>
        </w:tabs>
        <w:spacing w:line="240" w:lineRule="auto"/>
        <w:jc w:val="both"/>
        <w:rPr>
          <w:rFonts w:ascii="Arial" w:hAnsi="Arial" w:cs="Arial"/>
        </w:rPr>
      </w:pPr>
      <w:r w:rsidRPr="00385B6B">
        <w:rPr>
          <w:rFonts w:ascii="Arial" w:hAnsi="Arial" w:cs="Arial"/>
        </w:rPr>
        <w:t xml:space="preserve">Las propuestas serán ordenadas por puntaje, seleccionándose </w:t>
      </w:r>
      <w:r w:rsidR="00385B6B" w:rsidRPr="00385B6B">
        <w:rPr>
          <w:rFonts w:ascii="Arial" w:hAnsi="Arial" w:cs="Arial"/>
        </w:rPr>
        <w:t>las tres mejores prácticas docentes por cada sede.</w:t>
      </w:r>
    </w:p>
    <w:p w14:paraId="3FD3D984" w14:textId="77777777" w:rsidR="00385B6B" w:rsidRPr="00385B6B" w:rsidRDefault="00385B6B" w:rsidP="007854B9">
      <w:pPr>
        <w:tabs>
          <w:tab w:val="left" w:pos="993"/>
        </w:tabs>
        <w:spacing w:line="240" w:lineRule="auto"/>
        <w:jc w:val="both"/>
        <w:rPr>
          <w:rFonts w:ascii="Arial" w:hAnsi="Arial" w:cs="Arial"/>
        </w:rPr>
      </w:pPr>
      <w:r w:rsidRPr="00385B6B">
        <w:rPr>
          <w:rFonts w:ascii="Arial" w:hAnsi="Arial" w:cs="Arial"/>
        </w:rPr>
        <w:t>Fecha de inicio 13 de octubre de 2021</w:t>
      </w:r>
    </w:p>
    <w:p w14:paraId="3D4C6D20" w14:textId="77777777" w:rsidR="00385B6B" w:rsidRPr="00385B6B" w:rsidRDefault="00385B6B" w:rsidP="007854B9">
      <w:pPr>
        <w:tabs>
          <w:tab w:val="left" w:pos="993"/>
        </w:tabs>
        <w:spacing w:line="240" w:lineRule="auto"/>
        <w:jc w:val="both"/>
        <w:rPr>
          <w:rFonts w:ascii="Arial" w:hAnsi="Arial" w:cs="Arial"/>
        </w:rPr>
      </w:pPr>
      <w:r w:rsidRPr="00385B6B">
        <w:rPr>
          <w:rFonts w:ascii="Arial" w:hAnsi="Arial" w:cs="Arial"/>
        </w:rPr>
        <w:t>Fecha de cierre del envío de las presentaciones: 10 de enero de 2022</w:t>
      </w:r>
    </w:p>
    <w:p w14:paraId="38034C1A" w14:textId="77777777" w:rsidR="000838A4" w:rsidRDefault="000838A4">
      <w:pPr>
        <w:spacing w:line="240" w:lineRule="auto"/>
        <w:jc w:val="both"/>
        <w:rPr>
          <w:rFonts w:ascii="Arial" w:hAnsi="Arial" w:cs="Arial"/>
        </w:rPr>
      </w:pPr>
    </w:p>
    <w:p w14:paraId="20942BFC" w14:textId="77777777" w:rsidR="00843D9E" w:rsidRDefault="00843D9E">
      <w:pPr>
        <w:spacing w:line="240" w:lineRule="auto"/>
        <w:jc w:val="both"/>
        <w:rPr>
          <w:rFonts w:ascii="Arial" w:hAnsi="Arial" w:cs="Arial"/>
          <w:b/>
        </w:rPr>
      </w:pPr>
    </w:p>
    <w:p w14:paraId="718B555D" w14:textId="72EA4634" w:rsidR="000838A4" w:rsidRPr="000838A4" w:rsidRDefault="000838A4">
      <w:pPr>
        <w:spacing w:line="240" w:lineRule="auto"/>
        <w:jc w:val="both"/>
        <w:rPr>
          <w:rFonts w:ascii="Arial" w:hAnsi="Arial" w:cs="Arial"/>
          <w:b/>
        </w:rPr>
      </w:pPr>
      <w:r w:rsidRPr="000838A4">
        <w:rPr>
          <w:rFonts w:ascii="Arial" w:hAnsi="Arial" w:cs="Arial"/>
          <w:b/>
        </w:rPr>
        <w:lastRenderedPageBreak/>
        <w:t>Indicación final</w:t>
      </w:r>
    </w:p>
    <w:p w14:paraId="5F6070E7" w14:textId="5CD9A0F2" w:rsidR="00A128AD" w:rsidRPr="00385B6B" w:rsidRDefault="00843D9E">
      <w:pPr>
        <w:rPr>
          <w:rFonts w:ascii="Arial" w:hAnsi="Arial" w:cs="Arial"/>
        </w:rPr>
      </w:pPr>
      <w:r>
        <w:rPr>
          <w:rFonts w:ascii="Arial" w:hAnsi="Arial" w:cs="Arial"/>
        </w:rPr>
        <w:t>Las propuestas deben ser enviadas al correo: hbravo@ucentral.cl</w:t>
      </w:r>
    </w:p>
    <w:sectPr w:rsidR="00A128AD" w:rsidRPr="00385B6B">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82CE" w14:textId="77777777" w:rsidR="00A96649" w:rsidRDefault="00A96649">
      <w:pPr>
        <w:spacing w:after="0" w:line="240" w:lineRule="auto"/>
      </w:pPr>
      <w:r>
        <w:separator/>
      </w:r>
    </w:p>
  </w:endnote>
  <w:endnote w:type="continuationSeparator" w:id="0">
    <w:p w14:paraId="5FA27C08" w14:textId="77777777" w:rsidR="00A96649" w:rsidRDefault="00A9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7869" w14:textId="77777777" w:rsidR="00A128AD" w:rsidRDefault="005F61ED">
    <w:pPr>
      <w:pBdr>
        <w:top w:val="nil"/>
        <w:left w:val="nil"/>
        <w:bottom w:val="nil"/>
        <w:right w:val="nil"/>
        <w:between w:val="nil"/>
      </w:pBdr>
      <w:tabs>
        <w:tab w:val="center" w:pos="4419"/>
        <w:tab w:val="right" w:pos="8838"/>
      </w:tabs>
      <w:spacing w:after="0" w:line="240" w:lineRule="auto"/>
      <w:jc w:val="center"/>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0838A4">
      <w:rPr>
        <w:rFonts w:eastAsia="Calibri"/>
        <w:noProof/>
        <w:color w:val="000000"/>
      </w:rPr>
      <w:t>5</w:t>
    </w:r>
    <w:r>
      <w:rPr>
        <w:rFonts w:eastAsia="Calibri"/>
        <w:color w:val="000000"/>
      </w:rPr>
      <w:fldChar w:fldCharType="end"/>
    </w:r>
  </w:p>
  <w:p w14:paraId="5D8B0C4D" w14:textId="77777777" w:rsidR="00A128AD" w:rsidRDefault="005F61ED">
    <w:pPr>
      <w:pBdr>
        <w:top w:val="nil"/>
        <w:left w:val="nil"/>
        <w:bottom w:val="nil"/>
        <w:right w:val="nil"/>
        <w:between w:val="nil"/>
      </w:pBdr>
      <w:tabs>
        <w:tab w:val="center" w:pos="4419"/>
        <w:tab w:val="right" w:pos="8838"/>
      </w:tabs>
      <w:spacing w:after="0" w:line="240" w:lineRule="auto"/>
      <w:rPr>
        <w:rFonts w:eastAsia="Calibri"/>
        <w:b/>
        <w:color w:val="000000"/>
        <w:sz w:val="16"/>
        <w:szCs w:val="16"/>
      </w:rPr>
    </w:pPr>
    <w:r>
      <w:rPr>
        <w:rFonts w:eastAsia="Calibri"/>
        <w:b/>
        <w:color w:val="000000"/>
        <w:sz w:val="16"/>
        <w:szCs w:val="16"/>
      </w:rPr>
      <w:t>UNIVERSIDAD CENTRAL DE CHILE</w:t>
    </w:r>
  </w:p>
  <w:p w14:paraId="3A63D85A" w14:textId="77777777" w:rsidR="00A128AD" w:rsidRDefault="005F61ED">
    <w:pPr>
      <w:pBdr>
        <w:top w:val="nil"/>
        <w:left w:val="nil"/>
        <w:bottom w:val="nil"/>
        <w:right w:val="nil"/>
        <w:between w:val="nil"/>
      </w:pBdr>
      <w:tabs>
        <w:tab w:val="center" w:pos="4419"/>
        <w:tab w:val="right" w:pos="8838"/>
      </w:tabs>
      <w:spacing w:after="0" w:line="240" w:lineRule="auto"/>
      <w:rPr>
        <w:rFonts w:eastAsia="Calibri"/>
        <w:b/>
        <w:color w:val="000000"/>
        <w:sz w:val="16"/>
        <w:szCs w:val="16"/>
      </w:rPr>
    </w:pPr>
    <w:r>
      <w:rPr>
        <w:rFonts w:eastAsia="Calibri"/>
        <w:b/>
        <w:color w:val="000000"/>
        <w:sz w:val="16"/>
        <w:szCs w:val="16"/>
      </w:rPr>
      <w:t>VICERRECTORIA ACADEMICA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4718E" w14:textId="77777777" w:rsidR="00A96649" w:rsidRDefault="00A96649">
      <w:pPr>
        <w:spacing w:after="0" w:line="240" w:lineRule="auto"/>
      </w:pPr>
      <w:r>
        <w:separator/>
      </w:r>
    </w:p>
  </w:footnote>
  <w:footnote w:type="continuationSeparator" w:id="0">
    <w:p w14:paraId="413462F6" w14:textId="77777777" w:rsidR="00A96649" w:rsidRDefault="00A96649">
      <w:pPr>
        <w:spacing w:after="0" w:line="240" w:lineRule="auto"/>
      </w:pPr>
      <w:r>
        <w:continuationSeparator/>
      </w:r>
    </w:p>
  </w:footnote>
  <w:footnote w:id="1">
    <w:p w14:paraId="7E144C2F" w14:textId="77777777" w:rsidR="00A128AD" w:rsidRDefault="005F61ED">
      <w:pPr>
        <w:spacing w:after="0" w:line="240" w:lineRule="auto"/>
        <w:jc w:val="both"/>
      </w:pPr>
      <w:r>
        <w:rPr>
          <w:vertAlign w:val="superscript"/>
        </w:rPr>
        <w:footnoteRef/>
      </w:r>
      <w:r>
        <w:t xml:space="preserve"> </w:t>
      </w:r>
      <w:r>
        <w:rPr>
          <w:b/>
          <w:sz w:val="16"/>
          <w:szCs w:val="16"/>
        </w:rPr>
        <w:t xml:space="preserve">Guzmán, Jesús Carlos (2018) </w:t>
      </w:r>
      <w:r>
        <w:rPr>
          <w:sz w:val="16"/>
          <w:szCs w:val="16"/>
        </w:rPr>
        <w:t xml:space="preserve">Las Buenas Prácticas de Enseñanza de los Profesores de Educación Superior. </w:t>
      </w:r>
      <w:r>
        <w:rPr>
          <w:i/>
          <w:sz w:val="16"/>
          <w:szCs w:val="16"/>
        </w:rPr>
        <w:t xml:space="preserve">REICE. Revista Iberoamericana sobre Calidad, Eficacia y Cambio en Educación, vol. 16, núm. 2, </w:t>
      </w:r>
      <w:r>
        <w:rPr>
          <w:sz w:val="16"/>
          <w:szCs w:val="16"/>
        </w:rPr>
        <w:t xml:space="preserve">Red Iberoamericana de Investigación Sobre Cambio y Eficacia Escolar, España </w:t>
      </w:r>
      <w:r>
        <w:rPr>
          <w:b/>
          <w:sz w:val="16"/>
          <w:szCs w:val="16"/>
        </w:rPr>
        <w:t xml:space="preserve">Disponible en: </w:t>
      </w:r>
      <w:hyperlink r:id="rId1">
        <w:r>
          <w:rPr>
            <w:sz w:val="16"/>
            <w:szCs w:val="16"/>
          </w:rPr>
          <w:t>https://www.redalyc.org/articulo.oa?id=55160059008</w:t>
        </w:r>
      </w:hyperlink>
    </w:p>
  </w:footnote>
  <w:footnote w:id="2">
    <w:p w14:paraId="6BBB9777" w14:textId="77777777" w:rsidR="00A128AD" w:rsidRDefault="005F61ED">
      <w:pPr>
        <w:widowControl w:val="0"/>
        <w:pBdr>
          <w:top w:val="nil"/>
          <w:left w:val="nil"/>
          <w:bottom w:val="nil"/>
          <w:right w:val="nil"/>
          <w:between w:val="nil"/>
        </w:pBdr>
        <w:spacing w:before="1" w:after="0" w:line="244" w:lineRule="auto"/>
        <w:ind w:left="20" w:right="14"/>
        <w:rPr>
          <w:rFonts w:eastAsia="Calibri"/>
          <w:i/>
          <w:color w:val="000000"/>
          <w:sz w:val="16"/>
          <w:szCs w:val="16"/>
        </w:rPr>
      </w:pPr>
      <w:r>
        <w:rPr>
          <w:vertAlign w:val="superscript"/>
        </w:rPr>
        <w:footnoteRef/>
      </w:r>
      <w:r>
        <w:rPr>
          <w:rFonts w:eastAsia="Calibri"/>
          <w:b/>
          <w:i/>
          <w:color w:val="000000"/>
          <w:sz w:val="24"/>
          <w:szCs w:val="24"/>
        </w:rPr>
        <w:t xml:space="preserve"> </w:t>
      </w:r>
      <w:r>
        <w:rPr>
          <w:rFonts w:eastAsia="Calibri"/>
          <w:b/>
          <w:i/>
          <w:color w:val="000000"/>
          <w:sz w:val="16"/>
          <w:szCs w:val="16"/>
        </w:rPr>
        <w:t>del Castillo-olivares, J.  M.; del Castillo-olivares, A.</w:t>
      </w:r>
      <w:r>
        <w:rPr>
          <w:rFonts w:eastAsia="Calibri"/>
          <w:i/>
          <w:color w:val="000000"/>
          <w:sz w:val="16"/>
          <w:szCs w:val="16"/>
        </w:rPr>
        <w:t xml:space="preserve">  (2021).  </w:t>
      </w:r>
      <w:r>
        <w:rPr>
          <w:rFonts w:eastAsia="Calibri"/>
          <w:color w:val="000000"/>
          <w:sz w:val="16"/>
          <w:szCs w:val="16"/>
        </w:rPr>
        <w:t xml:space="preserve">El impacto de la COVID-19  en  el profesorado de educación superior y sus concepciones sobre la evaluación. </w:t>
      </w:r>
      <w:r>
        <w:rPr>
          <w:rFonts w:eastAsia="Calibri"/>
          <w:i/>
          <w:color w:val="000000"/>
          <w:sz w:val="16"/>
          <w:szCs w:val="16"/>
        </w:rPr>
        <w:t>Campus Virtuales, 10(1), 89-101. (www.revistacampusvirtuales.es)</w:t>
      </w:r>
    </w:p>
    <w:p w14:paraId="16AE9BC1" w14:textId="77777777" w:rsidR="00A128AD" w:rsidRDefault="00A128AD">
      <w:pPr>
        <w:pBdr>
          <w:top w:val="nil"/>
          <w:left w:val="nil"/>
          <w:bottom w:val="nil"/>
          <w:right w:val="nil"/>
          <w:between w:val="nil"/>
        </w:pBdr>
        <w:spacing w:after="0" w:line="240" w:lineRule="auto"/>
        <w:rPr>
          <w:rFonts w:eastAsia="Calibri"/>
          <w:i/>
          <w:color w:val="000000"/>
          <w:sz w:val="16"/>
          <w:szCs w:val="16"/>
        </w:rPr>
      </w:pPr>
    </w:p>
  </w:footnote>
  <w:footnote w:id="3">
    <w:p w14:paraId="439A07C4" w14:textId="77777777" w:rsidR="00A128AD" w:rsidRDefault="005F61ED">
      <w:pPr>
        <w:pBdr>
          <w:top w:val="nil"/>
          <w:left w:val="nil"/>
          <w:bottom w:val="nil"/>
          <w:right w:val="nil"/>
          <w:between w:val="nil"/>
        </w:pBdr>
        <w:spacing w:after="0" w:line="240" w:lineRule="auto"/>
        <w:rPr>
          <w:rFonts w:eastAsia="Calibri"/>
          <w:color w:val="000000"/>
          <w:sz w:val="20"/>
          <w:szCs w:val="20"/>
        </w:rPr>
      </w:pPr>
      <w:r>
        <w:rPr>
          <w:vertAlign w:val="superscript"/>
        </w:rPr>
        <w:footnoteRef/>
      </w:r>
      <w:r>
        <w:rPr>
          <w:rFonts w:eastAsia="Calibri"/>
          <w:color w:val="000000"/>
          <w:sz w:val="20"/>
          <w:szCs w:val="20"/>
        </w:rPr>
        <w:t xml:space="preserve"> </w:t>
      </w:r>
      <w:r>
        <w:rPr>
          <w:rFonts w:eastAsia="Calibri"/>
          <w:color w:val="000000"/>
          <w:sz w:val="16"/>
          <w:szCs w:val="16"/>
        </w:rPr>
        <w:t>Juan A. Barboza y Hugo A. Zapata (2013) El Estudio de Clase, Estrategia y Escenario para la Cualificación del Profesor. Formación Universitaria – Vol. 6 Nº4 – 2013</w:t>
      </w:r>
    </w:p>
  </w:footnote>
  <w:footnote w:id="4">
    <w:p w14:paraId="0728BD14" w14:textId="77777777" w:rsidR="00A128AD" w:rsidRDefault="005F61ED">
      <w:pPr>
        <w:pStyle w:val="Ttulo2"/>
        <w:spacing w:before="0" w:line="240" w:lineRule="auto"/>
        <w:ind w:right="665"/>
        <w:jc w:val="both"/>
        <w:rPr>
          <w:rFonts w:ascii="Calibri" w:eastAsia="Calibri" w:hAnsi="Calibri" w:cs="Calibri"/>
          <w:color w:val="000000"/>
          <w:sz w:val="16"/>
          <w:szCs w:val="16"/>
        </w:rPr>
      </w:pPr>
      <w:r>
        <w:rPr>
          <w:vertAlign w:val="superscript"/>
        </w:rPr>
        <w:footnoteRef/>
      </w:r>
      <w:r>
        <w:t xml:space="preserve"> </w:t>
      </w:r>
      <w:r>
        <w:rPr>
          <w:rFonts w:ascii="Calibri" w:eastAsia="Calibri" w:hAnsi="Calibri" w:cs="Calibri"/>
          <w:color w:val="000000"/>
          <w:sz w:val="16"/>
          <w:szCs w:val="16"/>
        </w:rPr>
        <w:t xml:space="preserve">Veliz Salazar, Miriam (2021) BUENAS PRÁCTICAS DOCENTES EN AULAS VIRTUALES DE EDUCACIÓN MEDIA SUPERIOR. Tesis Doctoral Universidad Autónoma de Aguascalientes. México </w:t>
      </w:r>
    </w:p>
    <w:p w14:paraId="40EA57B2" w14:textId="77777777" w:rsidR="00A128AD" w:rsidRDefault="005F61ED">
      <w:pPr>
        <w:pStyle w:val="Ttulo2"/>
        <w:spacing w:line="240" w:lineRule="auto"/>
        <w:ind w:right="665"/>
        <w:jc w:val="both"/>
        <w:rPr>
          <w:rFonts w:ascii="Calibri" w:eastAsia="Calibri" w:hAnsi="Calibri" w:cs="Calibri"/>
          <w:color w:val="000000"/>
          <w:sz w:val="16"/>
          <w:szCs w:val="16"/>
        </w:rPr>
      </w:pPr>
      <w:r>
        <w:rPr>
          <w:rFonts w:ascii="Arial MT" w:eastAsia="Arial MT" w:hAnsi="Arial MT" w:cs="Arial MT"/>
          <w:sz w:val="16"/>
          <w:szCs w:val="16"/>
        </w:rPr>
        <w:t>https://outlook.live.com/mail/0/deeplink?popoutv2=1&amp;version=20210607004.03</w:t>
      </w:r>
    </w:p>
    <w:p w14:paraId="793320AD" w14:textId="77777777" w:rsidR="00A128AD" w:rsidRDefault="00A128AD">
      <w:pPr>
        <w:pBdr>
          <w:top w:val="nil"/>
          <w:left w:val="nil"/>
          <w:bottom w:val="nil"/>
          <w:right w:val="nil"/>
          <w:between w:val="nil"/>
        </w:pBdr>
        <w:spacing w:after="0" w:line="240" w:lineRule="auto"/>
        <w:rPr>
          <w:rFonts w:eastAsia="Calibri"/>
          <w:b/>
          <w:color w:val="000000"/>
          <w:sz w:val="16"/>
          <w:szCs w:val="16"/>
        </w:rPr>
      </w:pPr>
    </w:p>
  </w:footnote>
  <w:footnote w:id="5">
    <w:p w14:paraId="397984F5" w14:textId="77777777" w:rsidR="00A128AD" w:rsidRDefault="005F61ED">
      <w:pPr>
        <w:pBdr>
          <w:top w:val="nil"/>
          <w:left w:val="nil"/>
          <w:bottom w:val="nil"/>
          <w:right w:val="nil"/>
          <w:between w:val="nil"/>
        </w:pBdr>
        <w:spacing w:after="0" w:line="240" w:lineRule="auto"/>
        <w:rPr>
          <w:rFonts w:eastAsia="Calibri"/>
          <w:color w:val="000000"/>
          <w:sz w:val="20"/>
          <w:szCs w:val="20"/>
        </w:rPr>
      </w:pPr>
      <w:r>
        <w:rPr>
          <w:vertAlign w:val="superscript"/>
        </w:rPr>
        <w:footnoteRef/>
      </w:r>
      <w:r>
        <w:rPr>
          <w:rFonts w:eastAsia="Calibri"/>
          <w:color w:val="000000"/>
          <w:sz w:val="20"/>
          <w:szCs w:val="20"/>
        </w:rPr>
        <w:t xml:space="preserve"> El patrocinio en caso de carreras técnicas será del Director de la Carreras Técnicas y el coordinador de la carrera específica. En tanto que para pre grado y post grado es el director de carrera o programa y un docente jornada.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D451" w14:textId="77777777" w:rsidR="00A128AD" w:rsidRDefault="005F61ED">
    <w:pPr>
      <w:pBdr>
        <w:top w:val="nil"/>
        <w:left w:val="nil"/>
        <w:bottom w:val="nil"/>
        <w:right w:val="nil"/>
        <w:between w:val="nil"/>
      </w:pBdr>
      <w:tabs>
        <w:tab w:val="center" w:pos="4419"/>
        <w:tab w:val="right" w:pos="8838"/>
      </w:tabs>
      <w:spacing w:after="0" w:line="240" w:lineRule="auto"/>
      <w:jc w:val="center"/>
      <w:rPr>
        <w:rFonts w:eastAsia="Calibri"/>
        <w:b/>
        <w:color w:val="000000"/>
      </w:rPr>
    </w:pPr>
    <w:r>
      <w:rPr>
        <w:rFonts w:eastAsia="Calibri"/>
        <w:noProof/>
        <w:color w:val="000000"/>
      </w:rPr>
      <w:drawing>
        <wp:inline distT="0" distB="0" distL="0" distR="0" wp14:anchorId="6FAE4A03" wp14:editId="0C5A44F6">
          <wp:extent cx="2616336" cy="523267"/>
          <wp:effectExtent l="0" t="0" r="0" b="0"/>
          <wp:docPr id="3" name="image1.jpg" descr="https://ci4.googleusercontent.com/proxy/6DYXA9jss7iTosQKYllVgnIpnYBZ2VKT-WpARRFYNFezEJ91ylYYORC4_C4b33imR3QA78_wawnbuIizMV6yUklUSSNlNl-2=s0-d-e1-ft#http://www.ucentral.cl/mailing/dircom/comunicado2.jpg"/>
          <wp:cNvGraphicFramePr/>
          <a:graphic xmlns:a="http://schemas.openxmlformats.org/drawingml/2006/main">
            <a:graphicData uri="http://schemas.openxmlformats.org/drawingml/2006/picture">
              <pic:pic xmlns:pic="http://schemas.openxmlformats.org/drawingml/2006/picture">
                <pic:nvPicPr>
                  <pic:cNvPr id="0" name="image1.jpg" descr="https://ci4.googleusercontent.com/proxy/6DYXA9jss7iTosQKYllVgnIpnYBZ2VKT-WpARRFYNFezEJ91ylYYORC4_C4b33imR3QA78_wawnbuIizMV6yUklUSSNlNl-2=s0-d-e1-ft#http://www.ucentral.cl/mailing/dircom/comunicado2.jpg"/>
                  <pic:cNvPicPr preferRelativeResize="0"/>
                </pic:nvPicPr>
                <pic:blipFill>
                  <a:blip r:embed="rId1"/>
                  <a:srcRect/>
                  <a:stretch>
                    <a:fillRect/>
                  </a:stretch>
                </pic:blipFill>
                <pic:spPr>
                  <a:xfrm>
                    <a:off x="0" y="0"/>
                    <a:ext cx="2616336" cy="523267"/>
                  </a:xfrm>
                  <a:prstGeom prst="rect">
                    <a:avLst/>
                  </a:prstGeom>
                  <a:ln/>
                </pic:spPr>
              </pic:pic>
            </a:graphicData>
          </a:graphic>
        </wp:inline>
      </w:drawing>
    </w:r>
  </w:p>
  <w:p w14:paraId="2953DC8D" w14:textId="77777777" w:rsidR="00A128AD" w:rsidRDefault="005F61ED">
    <w:pPr>
      <w:pBdr>
        <w:top w:val="nil"/>
        <w:left w:val="nil"/>
        <w:bottom w:val="nil"/>
        <w:right w:val="nil"/>
        <w:between w:val="nil"/>
      </w:pBdr>
      <w:tabs>
        <w:tab w:val="center" w:pos="4419"/>
        <w:tab w:val="right" w:pos="8838"/>
      </w:tabs>
      <w:spacing w:after="0" w:line="240" w:lineRule="auto"/>
      <w:jc w:val="center"/>
      <w:rPr>
        <w:rFonts w:eastAsia="Calibri"/>
        <w:b/>
        <w:color w:val="000000"/>
      </w:rPr>
    </w:pPr>
    <w:r>
      <w:rPr>
        <w:rFonts w:eastAsia="Calibri"/>
        <w:b/>
        <w:color w:val="000000"/>
      </w:rPr>
      <w:t>UNIVERSIDAD CENTRAL DE CHILE</w:t>
    </w:r>
  </w:p>
  <w:p w14:paraId="1140DEBF" w14:textId="77777777" w:rsidR="00A128AD" w:rsidRDefault="005F61ED">
    <w:pPr>
      <w:pBdr>
        <w:top w:val="nil"/>
        <w:left w:val="nil"/>
        <w:bottom w:val="nil"/>
        <w:right w:val="nil"/>
        <w:between w:val="nil"/>
      </w:pBdr>
      <w:tabs>
        <w:tab w:val="center" w:pos="4419"/>
        <w:tab w:val="right" w:pos="8838"/>
      </w:tabs>
      <w:spacing w:after="0" w:line="240" w:lineRule="auto"/>
      <w:jc w:val="center"/>
      <w:rPr>
        <w:rFonts w:eastAsia="Calibri"/>
        <w:b/>
        <w:color w:val="000000"/>
      </w:rPr>
    </w:pPr>
    <w:r>
      <w:rPr>
        <w:rFonts w:eastAsia="Calibri"/>
        <w:b/>
        <w:color w:val="000000"/>
      </w:rPr>
      <w:t>VICERRECTORÍA ACADÉMICA</w:t>
    </w:r>
  </w:p>
  <w:p w14:paraId="00AE10D8" w14:textId="77777777" w:rsidR="00A128AD" w:rsidRDefault="00A128AD">
    <w:pPr>
      <w:pBdr>
        <w:top w:val="nil"/>
        <w:left w:val="nil"/>
        <w:bottom w:val="nil"/>
        <w:right w:val="nil"/>
        <w:between w:val="nil"/>
      </w:pBdr>
      <w:tabs>
        <w:tab w:val="center" w:pos="4419"/>
        <w:tab w:val="right" w:pos="8838"/>
      </w:tabs>
      <w:spacing w:after="0" w:line="240" w:lineRule="auto"/>
      <w:jc w:val="center"/>
      <w:rPr>
        <w:rFonts w:eastAsia="Calibri"/>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85F59"/>
    <w:multiLevelType w:val="hybridMultilevel"/>
    <w:tmpl w:val="52F261AE"/>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 w15:restartNumberingAfterBreak="0">
    <w:nsid w:val="53202A7E"/>
    <w:multiLevelType w:val="multilevel"/>
    <w:tmpl w:val="D69CC38E"/>
    <w:lvl w:ilvl="0">
      <w:start w:val="1"/>
      <w:numFmt w:val="lowerLetter"/>
      <w:lvlText w:val="%1)"/>
      <w:lvlJc w:val="left"/>
      <w:pPr>
        <w:ind w:left="882" w:hanging="360"/>
      </w:pPr>
    </w:lvl>
    <w:lvl w:ilvl="1">
      <w:start w:val="1"/>
      <w:numFmt w:val="lowerLetter"/>
      <w:lvlText w:val="%2."/>
      <w:lvlJc w:val="left"/>
      <w:pPr>
        <w:ind w:left="1602" w:hanging="360"/>
      </w:pPr>
    </w:lvl>
    <w:lvl w:ilvl="2">
      <w:start w:val="1"/>
      <w:numFmt w:val="lowerRoman"/>
      <w:lvlText w:val="%3."/>
      <w:lvlJc w:val="right"/>
      <w:pPr>
        <w:ind w:left="2322" w:hanging="180"/>
      </w:pPr>
    </w:lvl>
    <w:lvl w:ilvl="3">
      <w:start w:val="1"/>
      <w:numFmt w:val="decimal"/>
      <w:lvlText w:val="%4."/>
      <w:lvlJc w:val="left"/>
      <w:pPr>
        <w:ind w:left="3042" w:hanging="360"/>
      </w:pPr>
    </w:lvl>
    <w:lvl w:ilvl="4">
      <w:start w:val="1"/>
      <w:numFmt w:val="lowerLetter"/>
      <w:lvlText w:val="%5."/>
      <w:lvlJc w:val="left"/>
      <w:pPr>
        <w:ind w:left="3762" w:hanging="360"/>
      </w:pPr>
    </w:lvl>
    <w:lvl w:ilvl="5">
      <w:start w:val="1"/>
      <w:numFmt w:val="lowerRoman"/>
      <w:lvlText w:val="%6."/>
      <w:lvlJc w:val="right"/>
      <w:pPr>
        <w:ind w:left="4482" w:hanging="180"/>
      </w:pPr>
    </w:lvl>
    <w:lvl w:ilvl="6">
      <w:start w:val="1"/>
      <w:numFmt w:val="decimal"/>
      <w:lvlText w:val="%7."/>
      <w:lvlJc w:val="left"/>
      <w:pPr>
        <w:ind w:left="5202" w:hanging="360"/>
      </w:pPr>
    </w:lvl>
    <w:lvl w:ilvl="7">
      <w:start w:val="1"/>
      <w:numFmt w:val="lowerLetter"/>
      <w:lvlText w:val="%8."/>
      <w:lvlJc w:val="left"/>
      <w:pPr>
        <w:ind w:left="5922" w:hanging="360"/>
      </w:pPr>
    </w:lvl>
    <w:lvl w:ilvl="8">
      <w:start w:val="1"/>
      <w:numFmt w:val="lowerRoman"/>
      <w:lvlText w:val="%9."/>
      <w:lvlJc w:val="right"/>
      <w:pPr>
        <w:ind w:left="6642" w:hanging="180"/>
      </w:pPr>
    </w:lvl>
  </w:abstractNum>
  <w:abstractNum w:abstractNumId="2" w15:restartNumberingAfterBreak="0">
    <w:nsid w:val="5B3D77D7"/>
    <w:multiLevelType w:val="multilevel"/>
    <w:tmpl w:val="787CB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A255B4"/>
    <w:multiLevelType w:val="multilevel"/>
    <w:tmpl w:val="373C60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7EC07F4"/>
    <w:multiLevelType w:val="multilevel"/>
    <w:tmpl w:val="8CC6F1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AD"/>
    <w:rsid w:val="000838A4"/>
    <w:rsid w:val="000D7A95"/>
    <w:rsid w:val="00124690"/>
    <w:rsid w:val="001A66E7"/>
    <w:rsid w:val="001C32BA"/>
    <w:rsid w:val="00333294"/>
    <w:rsid w:val="00385B6B"/>
    <w:rsid w:val="004E7E3C"/>
    <w:rsid w:val="005F61ED"/>
    <w:rsid w:val="007854B9"/>
    <w:rsid w:val="00790B43"/>
    <w:rsid w:val="008311A0"/>
    <w:rsid w:val="00843D9E"/>
    <w:rsid w:val="00932702"/>
    <w:rsid w:val="00A128AD"/>
    <w:rsid w:val="00A53088"/>
    <w:rsid w:val="00A96649"/>
    <w:rsid w:val="00B548BC"/>
    <w:rsid w:val="00BA0331"/>
    <w:rsid w:val="00D04B97"/>
    <w:rsid w:val="00D84BC4"/>
    <w:rsid w:val="00DB4E7E"/>
    <w:rsid w:val="00F4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B8D8"/>
  <w15:docId w15:val="{EDD79CC1-B470-4C02-BF31-CE80E335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FEB"/>
    <w:rPr>
      <w:rFonts w:eastAsiaTheme="minorEastAsia"/>
      <w:lang w:eastAsia="es-CL"/>
    </w:rPr>
  </w:style>
  <w:style w:type="paragraph" w:styleId="Ttulo1">
    <w:name w:val="heading 1"/>
    <w:basedOn w:val="Normal"/>
    <w:next w:val="Normal"/>
    <w:link w:val="Ttulo1Car"/>
    <w:uiPriority w:val="9"/>
    <w:qFormat/>
    <w:rsid w:val="00B61FE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4A6B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B61FEB"/>
    <w:rPr>
      <w:rFonts w:asciiTheme="majorHAnsi" w:eastAsiaTheme="majorEastAsia" w:hAnsiTheme="majorHAnsi" w:cstheme="majorBidi"/>
      <w:b/>
      <w:bCs/>
      <w:color w:val="2E74B5" w:themeColor="accent1" w:themeShade="BF"/>
      <w:sz w:val="28"/>
      <w:szCs w:val="28"/>
      <w:lang w:val="es-CL" w:eastAsia="es-CL"/>
    </w:rPr>
  </w:style>
  <w:style w:type="paragraph" w:styleId="Prrafodelista">
    <w:name w:val="List Paragraph"/>
    <w:basedOn w:val="Normal"/>
    <w:uiPriority w:val="34"/>
    <w:qFormat/>
    <w:rsid w:val="00B61FEB"/>
    <w:pPr>
      <w:ind w:left="720"/>
      <w:contextualSpacing/>
    </w:pPr>
  </w:style>
  <w:style w:type="paragraph" w:styleId="Encabezado">
    <w:name w:val="header"/>
    <w:basedOn w:val="Normal"/>
    <w:link w:val="EncabezadoCar"/>
    <w:uiPriority w:val="99"/>
    <w:unhideWhenUsed/>
    <w:rsid w:val="00B61F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1FEB"/>
    <w:rPr>
      <w:rFonts w:eastAsiaTheme="minorEastAsia"/>
      <w:lang w:val="es-CL" w:eastAsia="es-CL"/>
    </w:rPr>
  </w:style>
  <w:style w:type="paragraph" w:styleId="Piedepgina">
    <w:name w:val="footer"/>
    <w:basedOn w:val="Normal"/>
    <w:link w:val="PiedepginaCar"/>
    <w:uiPriority w:val="99"/>
    <w:unhideWhenUsed/>
    <w:rsid w:val="00B61F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1FEB"/>
    <w:rPr>
      <w:rFonts w:eastAsiaTheme="minorEastAsia"/>
      <w:lang w:val="es-CL" w:eastAsia="es-CL"/>
    </w:rPr>
  </w:style>
  <w:style w:type="paragraph" w:styleId="Sinespaciado">
    <w:name w:val="No Spacing"/>
    <w:uiPriority w:val="1"/>
    <w:qFormat/>
    <w:rsid w:val="00B61FEB"/>
    <w:pPr>
      <w:spacing w:after="0" w:line="240" w:lineRule="auto"/>
    </w:pPr>
    <w:rPr>
      <w:rFonts w:eastAsiaTheme="minorEastAsia"/>
      <w:lang w:val="es-MX" w:eastAsia="es-CL"/>
    </w:rPr>
  </w:style>
  <w:style w:type="character" w:styleId="Hipervnculo">
    <w:name w:val="Hyperlink"/>
    <w:basedOn w:val="Fuentedeprrafopredeter"/>
    <w:uiPriority w:val="99"/>
    <w:unhideWhenUsed/>
    <w:rsid w:val="00B61FEB"/>
    <w:rPr>
      <w:color w:val="0563C1" w:themeColor="hyperlink"/>
      <w:u w:val="single"/>
    </w:rPr>
  </w:style>
  <w:style w:type="paragraph" w:styleId="Textonotapie">
    <w:name w:val="footnote text"/>
    <w:basedOn w:val="Normal"/>
    <w:link w:val="TextonotapieCar"/>
    <w:uiPriority w:val="99"/>
    <w:semiHidden/>
    <w:unhideWhenUsed/>
    <w:rsid w:val="00B61F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1FEB"/>
    <w:rPr>
      <w:rFonts w:eastAsiaTheme="minorEastAsia"/>
      <w:sz w:val="20"/>
      <w:szCs w:val="20"/>
      <w:lang w:val="es-CL" w:eastAsia="es-CL"/>
    </w:rPr>
  </w:style>
  <w:style w:type="character" w:styleId="Refdenotaalpie">
    <w:name w:val="footnote reference"/>
    <w:basedOn w:val="Fuentedeprrafopredeter"/>
    <w:uiPriority w:val="99"/>
    <w:semiHidden/>
    <w:unhideWhenUsed/>
    <w:rsid w:val="00B61FEB"/>
    <w:rPr>
      <w:vertAlign w:val="superscript"/>
    </w:rPr>
  </w:style>
  <w:style w:type="table" w:styleId="Tablaconcuadrcula">
    <w:name w:val="Table Grid"/>
    <w:basedOn w:val="Tablanormal"/>
    <w:uiPriority w:val="39"/>
    <w:rsid w:val="00B61FEB"/>
    <w:pPr>
      <w:spacing w:after="0" w:line="240" w:lineRule="auto"/>
    </w:pPr>
    <w:rPr>
      <w:rFonts w:eastAsiaTheme="minorEastAsia"/>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B61FEB"/>
    <w:pPr>
      <w:spacing w:after="100"/>
    </w:pPr>
  </w:style>
  <w:style w:type="paragraph" w:styleId="NormalWeb">
    <w:name w:val="Normal (Web)"/>
    <w:basedOn w:val="Normal"/>
    <w:uiPriority w:val="99"/>
    <w:unhideWhenUsed/>
    <w:rsid w:val="00B61FE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extoindependiente">
    <w:name w:val="Body Text"/>
    <w:basedOn w:val="Normal"/>
    <w:link w:val="TextoindependienteCar"/>
    <w:uiPriority w:val="1"/>
    <w:qFormat/>
    <w:rsid w:val="00702064"/>
    <w:pPr>
      <w:widowControl w:val="0"/>
      <w:autoSpaceDE w:val="0"/>
      <w:autoSpaceDN w:val="0"/>
      <w:spacing w:after="0" w:line="240" w:lineRule="auto"/>
    </w:pPr>
    <w:rPr>
      <w:rFonts w:eastAsia="Calibri"/>
      <w:sz w:val="24"/>
      <w:szCs w:val="24"/>
      <w:lang w:val="es-ES" w:eastAsia="en-US"/>
    </w:rPr>
  </w:style>
  <w:style w:type="character" w:customStyle="1" w:styleId="TextoindependienteCar">
    <w:name w:val="Texto independiente Car"/>
    <w:basedOn w:val="Fuentedeprrafopredeter"/>
    <w:link w:val="Textoindependiente"/>
    <w:uiPriority w:val="1"/>
    <w:rsid w:val="00702064"/>
    <w:rPr>
      <w:rFonts w:ascii="Calibri" w:eastAsia="Calibri" w:hAnsi="Calibri" w:cs="Calibri"/>
      <w:sz w:val="24"/>
      <w:szCs w:val="24"/>
      <w:lang w:val="es-ES"/>
    </w:rPr>
  </w:style>
  <w:style w:type="character" w:customStyle="1" w:styleId="Ttulo2Car">
    <w:name w:val="Título 2 Car"/>
    <w:basedOn w:val="Fuentedeprrafopredeter"/>
    <w:link w:val="Ttulo2"/>
    <w:uiPriority w:val="9"/>
    <w:semiHidden/>
    <w:rsid w:val="004A6B5D"/>
    <w:rPr>
      <w:rFonts w:asciiTheme="majorHAnsi" w:eastAsiaTheme="majorEastAsia" w:hAnsiTheme="majorHAnsi" w:cstheme="majorBidi"/>
      <w:color w:val="2E74B5" w:themeColor="accent1" w:themeShade="BF"/>
      <w:sz w:val="26"/>
      <w:szCs w:val="26"/>
      <w:lang w:val="es-CL" w:eastAsia="es-CL"/>
    </w:rPr>
  </w:style>
  <w:style w:type="paragraph" w:styleId="Textodeglobo">
    <w:name w:val="Balloon Text"/>
    <w:basedOn w:val="Normal"/>
    <w:link w:val="TextodegloboCar"/>
    <w:uiPriority w:val="99"/>
    <w:semiHidden/>
    <w:unhideWhenUsed/>
    <w:rsid w:val="009B64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649E"/>
    <w:rPr>
      <w:rFonts w:ascii="Segoe UI" w:eastAsiaTheme="minorEastAsia" w:hAnsi="Segoe UI" w:cs="Segoe UI"/>
      <w:sz w:val="18"/>
      <w:szCs w:val="18"/>
      <w:lang w:val="es-CL" w:eastAsia="es-CL"/>
    </w:rPr>
  </w:style>
  <w:style w:type="table" w:customStyle="1" w:styleId="TableNormal0">
    <w:name w:val="Table Normal"/>
    <w:uiPriority w:val="2"/>
    <w:semiHidden/>
    <w:unhideWhenUsed/>
    <w:qFormat/>
    <w:rsid w:val="008E49C1"/>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49C1"/>
    <w:pPr>
      <w:widowControl w:val="0"/>
      <w:autoSpaceDE w:val="0"/>
      <w:autoSpaceDN w:val="0"/>
      <w:spacing w:after="0" w:line="240" w:lineRule="auto"/>
    </w:pPr>
    <w:rPr>
      <w:rFonts w:ascii="Arial MT" w:eastAsia="Arial MT" w:hAnsi="Arial MT" w:cs="Arial MT"/>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829960">
      <w:bodyDiv w:val="1"/>
      <w:marLeft w:val="0"/>
      <w:marRight w:val="0"/>
      <w:marTop w:val="0"/>
      <w:marBottom w:val="0"/>
      <w:divBdr>
        <w:top w:val="none" w:sz="0" w:space="0" w:color="auto"/>
        <w:left w:val="none" w:sz="0" w:space="0" w:color="auto"/>
        <w:bottom w:val="none" w:sz="0" w:space="0" w:color="auto"/>
        <w:right w:val="none" w:sz="0" w:space="0" w:color="auto"/>
      </w:divBdr>
    </w:div>
    <w:div w:id="1951546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dalyc.org/articulo.oa?id=551600590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T2sZhL0iwhrJBJHmRDvpM63SnQ==">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1488</Words>
  <Characters>8186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Romo</dc:creator>
  <cp:lastModifiedBy>emilialorenzo bravofarias</cp:lastModifiedBy>
  <cp:revision>3</cp:revision>
  <dcterms:created xsi:type="dcterms:W3CDTF">2021-10-06T12:04:00Z</dcterms:created>
  <dcterms:modified xsi:type="dcterms:W3CDTF">2021-10-19T14:37:00Z</dcterms:modified>
</cp:coreProperties>
</file>